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CCD9" w14:textId="07503A7E" w:rsidR="008D592F" w:rsidRDefault="00546EF2">
      <w:pPr>
        <w:spacing w:line="384" w:lineRule="auto"/>
        <w:jc w:val="center"/>
      </w:pPr>
      <w:r>
        <w:rPr>
          <w:rFonts w:ascii="Times New Roman"/>
          <w:b/>
          <w:sz w:val="24"/>
        </w:rPr>
        <w:t>Eligibility Criteria and Guidelines for Access</w:t>
      </w:r>
      <w:r w:rsidRPr="0045677B">
        <w:rPr>
          <w:rFonts w:ascii="Times New Roman"/>
          <w:b/>
          <w:sz w:val="24"/>
        </w:rPr>
        <w:t xml:space="preserve">ing the </w:t>
      </w:r>
      <w:r w:rsidR="00622B53" w:rsidRPr="0045677B">
        <w:rPr>
          <w:rFonts w:ascii="Times New Roman"/>
          <w:b/>
          <w:sz w:val="24"/>
        </w:rPr>
        <w:t>Sub-Fund</w:t>
      </w:r>
      <w:r w:rsidR="00622B53" w:rsidRPr="0045677B">
        <w:rPr>
          <w:rFonts w:ascii="Times New Roman" w:eastAsia="Times New Roman" w:hAnsi="Times New Roman" w:cs="Times New Roman"/>
          <w:b/>
          <w:bCs/>
          <w:sz w:val="24"/>
          <w:szCs w:val="24"/>
        </w:rPr>
        <w:t xml:space="preserve"> </w:t>
      </w:r>
      <w:r w:rsidR="00622B53">
        <w:rPr>
          <w:rFonts w:ascii="Times New Roman" w:eastAsia="Times New Roman" w:hAnsi="Times New Roman" w:cs="Times New Roman"/>
          <w:b/>
          <w:bCs/>
          <w:sz w:val="24"/>
          <w:szCs w:val="24"/>
        </w:rPr>
        <w:t xml:space="preserve">on </w:t>
      </w:r>
      <w:r w:rsidR="0045677B" w:rsidRPr="0045677B">
        <w:rPr>
          <w:rFonts w:ascii="Times New Roman" w:eastAsia="Times New Roman" w:hAnsi="Times New Roman" w:cs="Times New Roman"/>
          <w:b/>
          <w:bCs/>
          <w:sz w:val="24"/>
          <w:szCs w:val="24"/>
        </w:rPr>
        <w:t>Prosperi</w:t>
      </w:r>
      <w:r w:rsidR="0045677B" w:rsidRPr="0045677B">
        <w:rPr>
          <w:rFonts w:ascii="Times New Roman" w:eastAsia="Malgun Gothic" w:hAnsi="Times New Roman" w:cs="Times New Roman"/>
          <w:b/>
          <w:bCs/>
          <w:sz w:val="24"/>
          <w:szCs w:val="24"/>
        </w:rPr>
        <w:t>ty of</w:t>
      </w:r>
      <w:r w:rsidR="0045677B" w:rsidRPr="0045677B">
        <w:rPr>
          <w:rFonts w:ascii="Times New Roman" w:eastAsia="Times New Roman" w:hAnsi="Times New Roman" w:cs="Times New Roman"/>
          <w:b/>
          <w:bCs/>
          <w:sz w:val="24"/>
          <w:szCs w:val="24"/>
        </w:rPr>
        <w:t xml:space="preserve"> Future Generations</w:t>
      </w:r>
      <w:r w:rsidRPr="0045677B">
        <w:rPr>
          <w:rFonts w:ascii="Times New Roman"/>
          <w:b/>
          <w:sz w:val="24"/>
        </w:rPr>
        <w:t xml:space="preserve"> </w:t>
      </w:r>
    </w:p>
    <w:p w14:paraId="29BD8AEF" w14:textId="77777777" w:rsidR="008D592F" w:rsidRPr="00204BAC" w:rsidRDefault="008D592F">
      <w:pPr>
        <w:spacing w:line="384" w:lineRule="auto"/>
        <w:rPr>
          <w:rFonts w:ascii="Times New Roman" w:eastAsia="Times New Roman"/>
          <w:color w:val="000000"/>
          <w:szCs w:val="20"/>
        </w:rPr>
      </w:pPr>
    </w:p>
    <w:p w14:paraId="6787AE17" w14:textId="64E31BD6" w:rsidR="008D592F" w:rsidRPr="006A5198" w:rsidRDefault="00546EF2">
      <w:pPr>
        <w:spacing w:line="384" w:lineRule="auto"/>
      </w:pPr>
      <w:r>
        <w:rPr>
          <w:rFonts w:ascii="Times New Roman"/>
          <w:sz w:val="24"/>
        </w:rPr>
        <w:t xml:space="preserve">This paper sets out the overall governance arrangements for the </w:t>
      </w:r>
      <w:r w:rsidR="0064544D" w:rsidRPr="006A5198">
        <w:rPr>
          <w:rFonts w:ascii="Times New Roman"/>
          <w:sz w:val="24"/>
        </w:rPr>
        <w:t xml:space="preserve">Sub-Fund </w:t>
      </w:r>
      <w:r w:rsidR="0064544D">
        <w:rPr>
          <w:rFonts w:ascii="Times New Roman"/>
          <w:sz w:val="24"/>
        </w:rPr>
        <w:t xml:space="preserve">on </w:t>
      </w:r>
      <w:r w:rsidR="0045677B" w:rsidRPr="0045677B">
        <w:rPr>
          <w:rFonts w:ascii="Times New Roman" w:eastAsia="Times New Roman" w:hAnsi="Times New Roman" w:cs="Times New Roman"/>
          <w:bCs/>
          <w:sz w:val="24"/>
          <w:szCs w:val="24"/>
        </w:rPr>
        <w:t>Prosperi</w:t>
      </w:r>
      <w:r w:rsidR="0045677B" w:rsidRPr="0045677B">
        <w:rPr>
          <w:rFonts w:ascii="Times New Roman" w:eastAsia="Malgun Gothic" w:hAnsi="Times New Roman" w:cs="Times New Roman"/>
          <w:bCs/>
          <w:sz w:val="24"/>
          <w:szCs w:val="24"/>
        </w:rPr>
        <w:t>ty of</w:t>
      </w:r>
      <w:r w:rsidR="0045677B" w:rsidRPr="0045677B">
        <w:rPr>
          <w:rFonts w:ascii="Times New Roman" w:eastAsia="Times New Roman" w:hAnsi="Times New Roman" w:cs="Times New Roman"/>
          <w:bCs/>
          <w:sz w:val="24"/>
          <w:szCs w:val="24"/>
        </w:rPr>
        <w:t xml:space="preserve"> Future </w:t>
      </w:r>
      <w:r w:rsidR="0045677B" w:rsidRPr="006A5198">
        <w:rPr>
          <w:rFonts w:ascii="Times New Roman" w:eastAsia="Times New Roman" w:hAnsi="Times New Roman" w:cs="Times New Roman"/>
          <w:bCs/>
          <w:sz w:val="24"/>
          <w:szCs w:val="24"/>
        </w:rPr>
        <w:t>Generations</w:t>
      </w:r>
      <w:r w:rsidRPr="006A5198">
        <w:rPr>
          <w:rFonts w:ascii="Times New Roman"/>
          <w:sz w:val="24"/>
        </w:rPr>
        <w:t xml:space="preserve"> including the eligibility criteria.  </w:t>
      </w:r>
    </w:p>
    <w:p w14:paraId="262AFCF6" w14:textId="77777777" w:rsidR="008D592F" w:rsidRPr="006A5198" w:rsidRDefault="00546EF2">
      <w:pPr>
        <w:spacing w:line="384" w:lineRule="auto"/>
      </w:pPr>
      <w:r w:rsidRPr="006A5198">
        <w:rPr>
          <w:rFonts w:ascii="Times New Roman"/>
          <w:b/>
          <w:sz w:val="24"/>
          <w:u w:val="single"/>
        </w:rPr>
        <w:t>Scope</w:t>
      </w:r>
    </w:p>
    <w:p w14:paraId="61EA8CDB" w14:textId="13F3747D" w:rsidR="00F01FF5" w:rsidRPr="00005A3D" w:rsidRDefault="00546EF2" w:rsidP="00F83FA5">
      <w:pPr>
        <w:spacing w:line="384" w:lineRule="auto"/>
        <w:rPr>
          <w:rFonts w:ascii="Times New Roman"/>
          <w:sz w:val="24"/>
        </w:rPr>
      </w:pPr>
      <w:r w:rsidRPr="00005A3D">
        <w:rPr>
          <w:rFonts w:ascii="Times New Roman"/>
          <w:sz w:val="24"/>
        </w:rPr>
        <w:t xml:space="preserve">The </w:t>
      </w:r>
      <w:r w:rsidR="005E3C26" w:rsidRPr="00005A3D">
        <w:rPr>
          <w:rFonts w:ascii="Times New Roman"/>
          <w:sz w:val="24"/>
        </w:rPr>
        <w:t xml:space="preserve">ASF Sub-Fund on </w:t>
      </w:r>
      <w:r w:rsidR="0045677B" w:rsidRPr="00005A3D">
        <w:rPr>
          <w:rFonts w:ascii="Times New Roman" w:eastAsia="Times New Roman" w:hAnsi="Times New Roman" w:cs="Times New Roman"/>
          <w:bCs/>
          <w:sz w:val="24"/>
          <w:szCs w:val="24"/>
        </w:rPr>
        <w:t>Prosperi</w:t>
      </w:r>
      <w:r w:rsidR="0045677B" w:rsidRPr="00005A3D">
        <w:rPr>
          <w:rFonts w:ascii="Times New Roman" w:eastAsia="Malgun Gothic" w:hAnsi="Times New Roman" w:cs="Times New Roman"/>
          <w:bCs/>
          <w:sz w:val="24"/>
          <w:szCs w:val="24"/>
        </w:rPr>
        <w:t>ty of</w:t>
      </w:r>
      <w:r w:rsidR="0045677B" w:rsidRPr="00005A3D">
        <w:rPr>
          <w:rFonts w:ascii="Times New Roman" w:eastAsia="Times New Roman" w:hAnsi="Times New Roman" w:cs="Times New Roman"/>
          <w:bCs/>
          <w:sz w:val="24"/>
          <w:szCs w:val="24"/>
        </w:rPr>
        <w:t xml:space="preserve"> Future Generations</w:t>
      </w:r>
      <w:r w:rsidRPr="00005A3D">
        <w:rPr>
          <w:rFonts w:ascii="Times New Roman"/>
          <w:sz w:val="24"/>
        </w:rPr>
        <w:t xml:space="preserve"> aims to institutionalize and provide ongoing support to advance APEC's strategic objectives of increasing the economic participation of </w:t>
      </w:r>
      <w:r w:rsidR="001102A5">
        <w:rPr>
          <w:rFonts w:ascii="Times New Roman"/>
          <w:sz w:val="24"/>
          <w:szCs w:val="24"/>
        </w:rPr>
        <w:t>young professionals</w:t>
      </w:r>
      <w:r w:rsidR="001102A5" w:rsidRPr="00005A3D">
        <w:rPr>
          <w:rStyle w:val="FootnoteReference"/>
          <w:rFonts w:ascii="Times New Roman"/>
          <w:sz w:val="24"/>
        </w:rPr>
        <w:footnoteReference w:id="2"/>
      </w:r>
      <w:r w:rsidRPr="00005A3D">
        <w:rPr>
          <w:rFonts w:ascii="Times New Roman"/>
          <w:sz w:val="24"/>
        </w:rPr>
        <w:t xml:space="preserve">. It will </w:t>
      </w:r>
      <w:r w:rsidR="00100D51" w:rsidRPr="00100D51">
        <w:rPr>
          <w:rFonts w:ascii="Times New Roman"/>
          <w:sz w:val="24"/>
        </w:rPr>
        <w:t>contribute</w:t>
      </w:r>
      <w:r w:rsidR="00100D51">
        <w:rPr>
          <w:rFonts w:ascii="Times New Roman"/>
          <w:sz w:val="24"/>
        </w:rPr>
        <w:t xml:space="preserve"> </w:t>
      </w:r>
      <w:r w:rsidRPr="00005A3D">
        <w:rPr>
          <w:rFonts w:ascii="Times New Roman"/>
          <w:sz w:val="24"/>
        </w:rPr>
        <w:t xml:space="preserve">to </w:t>
      </w:r>
      <w:r w:rsidR="00F96913">
        <w:rPr>
          <w:rFonts w:ascii="Times New Roman"/>
          <w:sz w:val="24"/>
        </w:rPr>
        <w:t>this objective</w:t>
      </w:r>
      <w:r w:rsidR="00100D51">
        <w:rPr>
          <w:rFonts w:ascii="Times New Roman"/>
          <w:sz w:val="24"/>
        </w:rPr>
        <w:t xml:space="preserve"> </w:t>
      </w:r>
      <w:r w:rsidR="00100D51" w:rsidRPr="00100D51">
        <w:rPr>
          <w:rFonts w:ascii="Times New Roman"/>
          <w:sz w:val="24"/>
        </w:rPr>
        <w:t xml:space="preserve">by </w:t>
      </w:r>
      <w:r w:rsidR="006D52F0">
        <w:rPr>
          <w:rFonts w:ascii="Times New Roman"/>
          <w:sz w:val="24"/>
        </w:rPr>
        <w:t xml:space="preserve">promoting </w:t>
      </w:r>
      <w:r w:rsidR="00877261">
        <w:rPr>
          <w:rFonts w:ascii="Times New Roman"/>
          <w:sz w:val="24"/>
        </w:rPr>
        <w:t>young professionals</w:t>
      </w:r>
      <w:r w:rsidR="00877261">
        <w:rPr>
          <w:rFonts w:ascii="Times New Roman"/>
          <w:sz w:val="24"/>
        </w:rPr>
        <w:t>’</w:t>
      </w:r>
      <w:r w:rsidR="006D52F0" w:rsidRPr="00005A3D">
        <w:rPr>
          <w:rFonts w:ascii="Times New Roman"/>
          <w:sz w:val="24"/>
        </w:rPr>
        <w:t xml:space="preserve"> </w:t>
      </w:r>
      <w:r w:rsidR="006D52F0">
        <w:rPr>
          <w:rFonts w:ascii="Times New Roman"/>
          <w:sz w:val="24"/>
        </w:rPr>
        <w:t>participation in the economy, enhancing</w:t>
      </w:r>
      <w:r w:rsidR="006D52F0" w:rsidRPr="00005A3D">
        <w:rPr>
          <w:rFonts w:ascii="Times New Roman"/>
          <w:sz w:val="24"/>
        </w:rPr>
        <w:t xml:space="preserve"> mutual understanding and cooperation</w:t>
      </w:r>
      <w:r w:rsidR="00236336">
        <w:rPr>
          <w:rFonts w:ascii="Times New Roman"/>
          <w:sz w:val="24"/>
        </w:rPr>
        <w:t xml:space="preserve"> </w:t>
      </w:r>
      <w:r w:rsidR="006D52F0" w:rsidRPr="00005A3D">
        <w:rPr>
          <w:rFonts w:ascii="Times New Roman"/>
          <w:sz w:val="24"/>
        </w:rPr>
        <w:t xml:space="preserve">through cultural and </w:t>
      </w:r>
      <w:r w:rsidR="007E1D36">
        <w:rPr>
          <w:rFonts w:ascii="Times New Roman"/>
          <w:sz w:val="24"/>
        </w:rPr>
        <w:t xml:space="preserve">knowledge </w:t>
      </w:r>
      <w:r w:rsidR="006D52F0" w:rsidRPr="00005A3D">
        <w:rPr>
          <w:rFonts w:ascii="Times New Roman"/>
          <w:sz w:val="24"/>
        </w:rPr>
        <w:t xml:space="preserve">exchanges, </w:t>
      </w:r>
      <w:r w:rsidR="00903632">
        <w:rPr>
          <w:rFonts w:ascii="Times New Roman"/>
          <w:sz w:val="24"/>
        </w:rPr>
        <w:t>supporting skill development</w:t>
      </w:r>
      <w:r w:rsidR="006D52F0" w:rsidRPr="00005A3D">
        <w:rPr>
          <w:rFonts w:ascii="Times New Roman"/>
          <w:sz w:val="24"/>
        </w:rPr>
        <w:t xml:space="preserve">, </w:t>
      </w:r>
      <w:r w:rsidR="006D52F0" w:rsidRPr="006D52F0">
        <w:rPr>
          <w:rFonts w:ascii="Times New Roman"/>
          <w:sz w:val="24"/>
        </w:rPr>
        <w:t xml:space="preserve">address unemployment, </w:t>
      </w:r>
      <w:r w:rsidR="006D52F0" w:rsidRPr="00005A3D">
        <w:rPr>
          <w:rFonts w:ascii="Times New Roman"/>
          <w:sz w:val="24"/>
        </w:rPr>
        <w:t xml:space="preserve">and </w:t>
      </w:r>
      <w:r w:rsidR="0064544D">
        <w:rPr>
          <w:rFonts w:ascii="Times New Roman"/>
          <w:sz w:val="24"/>
        </w:rPr>
        <w:t xml:space="preserve">assisting </w:t>
      </w:r>
      <w:r w:rsidR="006D52F0" w:rsidRPr="00005A3D">
        <w:rPr>
          <w:rFonts w:ascii="Times New Roman"/>
          <w:sz w:val="24"/>
        </w:rPr>
        <w:t>policymakers in addressing generation issues such as demographic changes</w:t>
      </w:r>
      <w:r w:rsidR="00C63492">
        <w:rPr>
          <w:rFonts w:ascii="Times New Roman"/>
          <w:sz w:val="24"/>
        </w:rPr>
        <w:t xml:space="preserve"> and environmental challenges. </w:t>
      </w:r>
    </w:p>
    <w:p w14:paraId="13738CF1" w14:textId="7DC8A457" w:rsidR="008D592F" w:rsidRPr="00005A3D" w:rsidRDefault="00546EF2">
      <w:pPr>
        <w:spacing w:line="384" w:lineRule="auto"/>
      </w:pPr>
      <w:r w:rsidRPr="00005A3D">
        <w:rPr>
          <w:rFonts w:ascii="Times New Roman"/>
          <w:sz w:val="24"/>
        </w:rPr>
        <w:t xml:space="preserve">The </w:t>
      </w:r>
      <w:r w:rsidR="005E3C26" w:rsidRPr="00005A3D">
        <w:rPr>
          <w:rFonts w:ascii="Times New Roman"/>
          <w:sz w:val="24"/>
        </w:rPr>
        <w:t>S</w:t>
      </w:r>
      <w:r w:rsidRPr="00005A3D">
        <w:rPr>
          <w:rFonts w:ascii="Times New Roman"/>
          <w:sz w:val="24"/>
        </w:rPr>
        <w:t>ub-</w:t>
      </w:r>
      <w:r w:rsidR="005E3C26" w:rsidRPr="00005A3D">
        <w:rPr>
          <w:rFonts w:ascii="Times New Roman"/>
          <w:sz w:val="24"/>
        </w:rPr>
        <w:t>F</w:t>
      </w:r>
      <w:r w:rsidRPr="00005A3D">
        <w:rPr>
          <w:rFonts w:ascii="Times New Roman"/>
          <w:sz w:val="24"/>
        </w:rPr>
        <w:t>und will support APEC's vision</w:t>
      </w:r>
      <w:r w:rsidR="00F01FF5" w:rsidRPr="00005A3D">
        <w:rPr>
          <w:rFonts w:ascii="Times New Roman"/>
          <w:sz w:val="24"/>
        </w:rPr>
        <w:t xml:space="preserve"> and initiatives</w:t>
      </w:r>
      <w:r w:rsidRPr="00005A3D">
        <w:rPr>
          <w:rFonts w:ascii="Times New Roman"/>
          <w:sz w:val="24"/>
        </w:rPr>
        <w:t xml:space="preserve"> </w:t>
      </w:r>
      <w:r w:rsidR="0064544D">
        <w:rPr>
          <w:rFonts w:ascii="Times New Roman"/>
          <w:sz w:val="24"/>
        </w:rPr>
        <w:t xml:space="preserve">for </w:t>
      </w:r>
      <w:r w:rsidRPr="00005A3D">
        <w:rPr>
          <w:rFonts w:ascii="Times New Roman"/>
          <w:sz w:val="24"/>
        </w:rPr>
        <w:t xml:space="preserve">inclusive and sustainable growth including the Aotearoa Plan of Action, in particular with regard to </w:t>
      </w:r>
      <w:r w:rsidR="00076714" w:rsidRPr="00005A3D">
        <w:rPr>
          <w:rFonts w:ascii="Times New Roman"/>
          <w:sz w:val="24"/>
        </w:rPr>
        <w:t>fostering</w:t>
      </w:r>
      <w:r w:rsidRPr="00005A3D">
        <w:rPr>
          <w:rFonts w:ascii="Times New Roman"/>
          <w:sz w:val="24"/>
        </w:rPr>
        <w:t xml:space="preserve"> the young generation of the Asia-Pacific region. </w:t>
      </w:r>
    </w:p>
    <w:p w14:paraId="52F2A48F" w14:textId="558E2237" w:rsidR="008D592F" w:rsidRDefault="00546EF2">
      <w:pPr>
        <w:spacing w:line="384" w:lineRule="auto"/>
      </w:pPr>
      <w:r w:rsidRPr="00005A3D">
        <w:rPr>
          <w:rFonts w:ascii="Times New Roman"/>
          <w:sz w:val="24"/>
        </w:rPr>
        <w:t xml:space="preserve">Operating within any APEC fora, any economy may submit Concept Notes (CNs) </w:t>
      </w:r>
      <w:r w:rsidR="0064544D">
        <w:rPr>
          <w:rFonts w:ascii="Times New Roman"/>
          <w:sz w:val="24"/>
        </w:rPr>
        <w:t>that</w:t>
      </w:r>
      <w:r w:rsidRPr="00005A3D">
        <w:rPr>
          <w:rFonts w:ascii="Times New Roman"/>
          <w:sz w:val="24"/>
        </w:rPr>
        <w:t xml:space="preserve"> meet the scope and eligibility criteria of the </w:t>
      </w:r>
      <w:r w:rsidR="008F344E" w:rsidRPr="00005A3D">
        <w:rPr>
          <w:rFonts w:ascii="Times New Roman"/>
          <w:sz w:val="24"/>
        </w:rPr>
        <w:t xml:space="preserve">ASF </w:t>
      </w:r>
      <w:r w:rsidR="005E3C26" w:rsidRPr="00005A3D">
        <w:rPr>
          <w:rFonts w:ascii="Times New Roman"/>
          <w:sz w:val="24"/>
        </w:rPr>
        <w:t xml:space="preserve">Sub-Fund </w:t>
      </w:r>
      <w:r w:rsidR="008F344E" w:rsidRPr="00005A3D">
        <w:rPr>
          <w:rFonts w:ascii="Times New Roman"/>
          <w:sz w:val="24"/>
        </w:rPr>
        <w:t xml:space="preserve">on </w:t>
      </w:r>
      <w:r w:rsidRPr="00005A3D">
        <w:rPr>
          <w:rFonts w:ascii="Times New Roman"/>
          <w:sz w:val="24"/>
        </w:rPr>
        <w:t>Prosperi</w:t>
      </w:r>
      <w:r w:rsidR="006F50AF" w:rsidRPr="00005A3D">
        <w:rPr>
          <w:rFonts w:ascii="Times New Roman"/>
          <w:sz w:val="24"/>
        </w:rPr>
        <w:t xml:space="preserve">ty </w:t>
      </w:r>
      <w:r w:rsidR="006F50AF">
        <w:rPr>
          <w:rFonts w:ascii="Times New Roman"/>
          <w:sz w:val="24"/>
        </w:rPr>
        <w:t>of</w:t>
      </w:r>
      <w:r>
        <w:rPr>
          <w:rFonts w:ascii="Times New Roman"/>
          <w:sz w:val="24"/>
        </w:rPr>
        <w:t xml:space="preserve"> Future Generations. </w:t>
      </w:r>
      <w:r w:rsidRPr="0045677B">
        <w:rPr>
          <w:rFonts w:ascii="Times New Roman"/>
          <w:sz w:val="24"/>
        </w:rPr>
        <w:t>The</w:t>
      </w:r>
      <w:r w:rsidR="00A51AB4">
        <w:rPr>
          <w:rFonts w:ascii="Times New Roman"/>
          <w:sz w:val="24"/>
        </w:rPr>
        <w:t xml:space="preserve"> </w:t>
      </w:r>
      <w:r w:rsidR="00A51AB4" w:rsidRPr="004B3EF8">
        <w:rPr>
          <w:rFonts w:ascii="Times New Roman"/>
          <w:sz w:val="24"/>
        </w:rPr>
        <w:t>SCE</w:t>
      </w:r>
      <w:r>
        <w:rPr>
          <w:rFonts w:ascii="Times New Roman"/>
          <w:color w:val="FF0000"/>
          <w:sz w:val="24"/>
        </w:rPr>
        <w:t xml:space="preserve"> </w:t>
      </w:r>
      <w:r>
        <w:rPr>
          <w:rFonts w:ascii="Times New Roman"/>
          <w:sz w:val="24"/>
        </w:rPr>
        <w:t xml:space="preserve">shall undertake the duties accorded to a Responsible APEC Forum as set-out in the Guidebook on APEC Projects with respect </w:t>
      </w:r>
      <w:r w:rsidR="0064544D">
        <w:rPr>
          <w:rFonts w:ascii="Times New Roman"/>
          <w:sz w:val="24"/>
        </w:rPr>
        <w:t>to</w:t>
      </w:r>
      <w:r>
        <w:rPr>
          <w:rFonts w:ascii="Times New Roman"/>
          <w:sz w:val="24"/>
        </w:rPr>
        <w:t xml:space="preserve"> the </w:t>
      </w:r>
      <w:r w:rsidR="008F344E">
        <w:rPr>
          <w:rFonts w:ascii="Times New Roman"/>
          <w:sz w:val="24"/>
        </w:rPr>
        <w:t>S</w:t>
      </w:r>
      <w:r>
        <w:rPr>
          <w:rFonts w:ascii="Times New Roman"/>
          <w:sz w:val="24"/>
        </w:rPr>
        <w:t>ub-</w:t>
      </w:r>
      <w:r w:rsidR="008F344E">
        <w:rPr>
          <w:rFonts w:ascii="Times New Roman"/>
          <w:sz w:val="24"/>
        </w:rPr>
        <w:t>F</w:t>
      </w:r>
      <w:r>
        <w:rPr>
          <w:rFonts w:ascii="Times New Roman"/>
          <w:sz w:val="24"/>
        </w:rPr>
        <w:t>und.</w:t>
      </w:r>
    </w:p>
    <w:p w14:paraId="2E40D4BA" w14:textId="10B7FDE4" w:rsidR="008D592F" w:rsidRDefault="00546EF2">
      <w:pPr>
        <w:spacing w:line="384" w:lineRule="auto"/>
      </w:pPr>
      <w:r>
        <w:rPr>
          <w:rFonts w:ascii="Times New Roman"/>
          <w:b/>
          <w:sz w:val="24"/>
          <w:u w:val="single"/>
        </w:rPr>
        <w:t xml:space="preserve">Criteria for Accessing </w:t>
      </w:r>
      <w:r w:rsidRPr="0045677B">
        <w:rPr>
          <w:rFonts w:ascii="Times New Roman"/>
          <w:b/>
          <w:sz w:val="24"/>
          <w:u w:val="single"/>
        </w:rPr>
        <w:t xml:space="preserve">the </w:t>
      </w:r>
      <w:r w:rsidR="00622B53" w:rsidRPr="0045677B">
        <w:rPr>
          <w:rFonts w:ascii="Times New Roman"/>
          <w:b/>
          <w:sz w:val="24"/>
          <w:u w:val="single"/>
        </w:rPr>
        <w:t>Sub</w:t>
      </w:r>
      <w:r w:rsidR="00622B53">
        <w:rPr>
          <w:rFonts w:ascii="Times New Roman"/>
          <w:b/>
          <w:sz w:val="24"/>
          <w:u w:val="single"/>
        </w:rPr>
        <w:t>-Fund</w:t>
      </w:r>
      <w:r w:rsidR="00622B53" w:rsidRPr="0045677B">
        <w:rPr>
          <w:rFonts w:ascii="Times New Roman" w:eastAsia="Times New Roman" w:hAnsi="Times New Roman" w:cs="Times New Roman"/>
          <w:b/>
          <w:bCs/>
          <w:sz w:val="24"/>
          <w:szCs w:val="24"/>
          <w:u w:val="single"/>
        </w:rPr>
        <w:t xml:space="preserve"> </w:t>
      </w:r>
      <w:r w:rsidR="00622B53">
        <w:rPr>
          <w:rFonts w:ascii="Times New Roman" w:eastAsia="Times New Roman" w:hAnsi="Times New Roman" w:cs="Times New Roman"/>
          <w:b/>
          <w:bCs/>
          <w:sz w:val="24"/>
          <w:szCs w:val="24"/>
          <w:u w:val="single"/>
        </w:rPr>
        <w:t xml:space="preserve">on </w:t>
      </w:r>
      <w:r w:rsidR="0045677B" w:rsidRPr="0045677B">
        <w:rPr>
          <w:rFonts w:ascii="Times New Roman" w:eastAsia="Times New Roman" w:hAnsi="Times New Roman" w:cs="Times New Roman"/>
          <w:b/>
          <w:bCs/>
          <w:sz w:val="24"/>
          <w:szCs w:val="24"/>
          <w:u w:val="single"/>
        </w:rPr>
        <w:t>Prosperi</w:t>
      </w:r>
      <w:r w:rsidR="0045677B" w:rsidRPr="0045677B">
        <w:rPr>
          <w:rFonts w:ascii="Times New Roman" w:eastAsia="Malgun Gothic" w:hAnsi="Times New Roman" w:cs="Times New Roman"/>
          <w:b/>
          <w:bCs/>
          <w:sz w:val="24"/>
          <w:szCs w:val="24"/>
          <w:u w:val="single"/>
        </w:rPr>
        <w:t>ty of</w:t>
      </w:r>
      <w:r w:rsidR="0045677B" w:rsidRPr="0045677B">
        <w:rPr>
          <w:rFonts w:ascii="Times New Roman" w:eastAsia="Times New Roman" w:hAnsi="Times New Roman" w:cs="Times New Roman"/>
          <w:b/>
          <w:bCs/>
          <w:sz w:val="24"/>
          <w:szCs w:val="24"/>
          <w:u w:val="single"/>
        </w:rPr>
        <w:t xml:space="preserve"> Future Generations</w:t>
      </w:r>
    </w:p>
    <w:p w14:paraId="082DADD4" w14:textId="7D93DA8F" w:rsidR="008D592F" w:rsidRPr="00005A3D" w:rsidRDefault="00546EF2">
      <w:pPr>
        <w:pStyle w:val="a"/>
        <w:spacing w:after="160"/>
        <w:rPr>
          <w:rFonts w:ascii="Times New Roman"/>
          <w:color w:val="auto"/>
          <w:sz w:val="24"/>
        </w:rPr>
      </w:pPr>
      <w:r>
        <w:rPr>
          <w:rFonts w:ascii="Times New Roman"/>
          <w:sz w:val="24"/>
        </w:rPr>
        <w:t xml:space="preserve">Any </w:t>
      </w:r>
      <w:r w:rsidRPr="00005A3D">
        <w:rPr>
          <w:rFonts w:ascii="Times New Roman"/>
          <w:color w:val="auto"/>
          <w:sz w:val="24"/>
        </w:rPr>
        <w:t xml:space="preserve">interested economy, within any APEC fora, may submit Concept Notes (CNs) </w:t>
      </w:r>
      <w:r w:rsidR="00622B53">
        <w:rPr>
          <w:rFonts w:ascii="Times New Roman"/>
          <w:color w:val="auto"/>
          <w:sz w:val="24"/>
        </w:rPr>
        <w:t>that</w:t>
      </w:r>
      <w:r w:rsidRPr="00005A3D">
        <w:rPr>
          <w:rFonts w:ascii="Times New Roman"/>
          <w:color w:val="auto"/>
          <w:sz w:val="24"/>
        </w:rPr>
        <w:t xml:space="preserve"> fall within the scope and eligibility criteria of the </w:t>
      </w:r>
      <w:r w:rsidR="00B510B1" w:rsidRPr="00005A3D">
        <w:rPr>
          <w:rFonts w:ascii="Times New Roman"/>
          <w:color w:val="auto"/>
          <w:sz w:val="24"/>
        </w:rPr>
        <w:t xml:space="preserve">ASF Sub-Fund on </w:t>
      </w:r>
      <w:r w:rsidR="0045677B" w:rsidRPr="00005A3D">
        <w:rPr>
          <w:rFonts w:ascii="Times New Roman" w:eastAsia="Times New Roman" w:hAnsi="Times New Roman" w:cs="Times New Roman"/>
          <w:bCs/>
          <w:color w:val="auto"/>
          <w:sz w:val="24"/>
          <w:szCs w:val="24"/>
        </w:rPr>
        <w:t>Prosperi</w:t>
      </w:r>
      <w:r w:rsidR="0045677B" w:rsidRPr="00005A3D">
        <w:rPr>
          <w:rFonts w:ascii="Times New Roman" w:eastAsia="Malgun Gothic" w:hAnsi="Times New Roman" w:cs="Times New Roman"/>
          <w:bCs/>
          <w:color w:val="auto"/>
          <w:sz w:val="24"/>
          <w:szCs w:val="24"/>
        </w:rPr>
        <w:t>ty of</w:t>
      </w:r>
      <w:r w:rsidR="0045677B" w:rsidRPr="00005A3D">
        <w:rPr>
          <w:rFonts w:ascii="Times New Roman" w:eastAsia="Times New Roman" w:hAnsi="Times New Roman" w:cs="Times New Roman"/>
          <w:bCs/>
          <w:color w:val="auto"/>
          <w:sz w:val="24"/>
          <w:szCs w:val="24"/>
        </w:rPr>
        <w:t xml:space="preserve"> Future Generations</w:t>
      </w:r>
      <w:r w:rsidRPr="00005A3D">
        <w:rPr>
          <w:rFonts w:ascii="Times New Roman"/>
          <w:color w:val="auto"/>
          <w:sz w:val="24"/>
        </w:rPr>
        <w:t>. To be considered eligible, CNs must:</w:t>
      </w:r>
    </w:p>
    <w:p w14:paraId="5B7251B7" w14:textId="792D72CA" w:rsidR="008D592F" w:rsidRPr="006A5198" w:rsidRDefault="003A1508">
      <w:pPr>
        <w:pStyle w:val="ListParagraph"/>
        <w:numPr>
          <w:ilvl w:val="0"/>
          <w:numId w:val="2"/>
        </w:numPr>
        <w:spacing w:after="160" w:line="384" w:lineRule="auto"/>
        <w:rPr>
          <w:rFonts w:ascii="Times New Roman" w:hAnsi="Times New Roman" w:cs="Times New Roman"/>
          <w:sz w:val="24"/>
          <w:szCs w:val="24"/>
          <w:lang w:eastAsia="ko-KR"/>
        </w:rPr>
      </w:pPr>
      <w:r w:rsidRPr="00005A3D">
        <w:rPr>
          <w:rFonts w:ascii="Times New Roman" w:hAnsi="Times New Roman" w:cs="Times New Roman"/>
          <w:sz w:val="24"/>
          <w:szCs w:val="24"/>
          <w:lang w:eastAsia="ko-KR"/>
        </w:rPr>
        <w:t>Be co-sponsored by</w:t>
      </w:r>
      <w:r w:rsidR="00546EF2" w:rsidRPr="00005A3D">
        <w:rPr>
          <w:rFonts w:ascii="Times New Roman" w:hAnsi="Times New Roman" w:cs="Times New Roman"/>
          <w:sz w:val="24"/>
          <w:szCs w:val="24"/>
          <w:lang w:eastAsia="ko-KR"/>
        </w:rPr>
        <w:t xml:space="preserve"> </w:t>
      </w:r>
      <w:r w:rsidR="001B23DB" w:rsidRPr="00005A3D">
        <w:rPr>
          <w:rFonts w:ascii="Times New Roman" w:hAnsi="Times New Roman" w:cs="Times New Roman"/>
          <w:sz w:val="24"/>
          <w:szCs w:val="24"/>
          <w:lang w:eastAsia="ko-KR"/>
        </w:rPr>
        <w:t xml:space="preserve">two or </w:t>
      </w:r>
      <w:r w:rsidR="00546EF2" w:rsidRPr="00005A3D">
        <w:rPr>
          <w:rFonts w:ascii="Times New Roman" w:hAnsi="Times New Roman" w:cs="Times New Roman"/>
          <w:sz w:val="24"/>
          <w:szCs w:val="24"/>
          <w:lang w:eastAsia="ko-KR"/>
        </w:rPr>
        <w:t>more</w:t>
      </w:r>
      <w:r w:rsidR="001B23DB" w:rsidRPr="00005A3D">
        <w:rPr>
          <w:rFonts w:ascii="Times New Roman" w:hAnsi="Times New Roman" w:cs="Times New Roman"/>
          <w:sz w:val="24"/>
          <w:szCs w:val="24"/>
          <w:lang w:eastAsia="ko-KR"/>
        </w:rPr>
        <w:t xml:space="preserve"> </w:t>
      </w:r>
      <w:r w:rsidR="00546EF2" w:rsidRPr="00005A3D">
        <w:rPr>
          <w:rFonts w:ascii="Times New Roman" w:hAnsi="Times New Roman" w:cs="Times New Roman"/>
          <w:sz w:val="24"/>
          <w:szCs w:val="24"/>
          <w:lang w:eastAsia="ko-KR"/>
        </w:rPr>
        <w:t>APEC econom</w:t>
      </w:r>
      <w:r w:rsidR="001B23DB" w:rsidRPr="00005A3D">
        <w:rPr>
          <w:rFonts w:ascii="Times New Roman" w:hAnsi="Times New Roman" w:cs="Times New Roman"/>
          <w:sz w:val="24"/>
          <w:szCs w:val="24"/>
          <w:lang w:eastAsia="ko-KR"/>
        </w:rPr>
        <w:t>ie</w:t>
      </w:r>
      <w:r w:rsidR="00377966" w:rsidRPr="00005A3D">
        <w:rPr>
          <w:rFonts w:ascii="Times New Roman" w:eastAsia="Malgun Gothic" w:hAnsi="Times New Roman" w:cs="Times New Roman"/>
          <w:sz w:val="24"/>
          <w:szCs w:val="24"/>
          <w:lang w:eastAsia="ko-KR"/>
        </w:rPr>
        <w:t xml:space="preserve">s, and/or as mandated by their </w:t>
      </w:r>
      <w:r w:rsidR="00DF1B78" w:rsidRPr="00005A3D">
        <w:rPr>
          <w:rFonts w:ascii="Times New Roman" w:eastAsia="Malgun Gothic" w:hAnsi="Times New Roman" w:cs="Times New Roman"/>
          <w:sz w:val="24"/>
          <w:szCs w:val="24"/>
          <w:lang w:eastAsia="ko-KR"/>
        </w:rPr>
        <w:lastRenderedPageBreak/>
        <w:t xml:space="preserve">supervising </w:t>
      </w:r>
      <w:r w:rsidR="00377966" w:rsidRPr="00005A3D">
        <w:rPr>
          <w:rFonts w:ascii="Times New Roman" w:eastAsia="Malgun Gothic" w:hAnsi="Times New Roman" w:cs="Times New Roman"/>
          <w:sz w:val="24"/>
          <w:szCs w:val="24"/>
          <w:lang w:eastAsia="ko-KR"/>
        </w:rPr>
        <w:t>forum</w:t>
      </w:r>
      <w:r w:rsidR="00377966" w:rsidRPr="006A5198">
        <w:rPr>
          <w:rFonts w:ascii="Times New Roman" w:eastAsia="Malgun Gothic" w:hAnsi="Times New Roman" w:cs="Times New Roman"/>
          <w:sz w:val="24"/>
          <w:szCs w:val="24"/>
          <w:lang w:eastAsia="ko-KR"/>
        </w:rPr>
        <w:t>.</w:t>
      </w:r>
    </w:p>
    <w:p w14:paraId="4BB5C00F" w14:textId="60B8C1E4" w:rsidR="008D592F" w:rsidRPr="00A666F7" w:rsidRDefault="00546EF2">
      <w:pPr>
        <w:pStyle w:val="ListParagraph"/>
        <w:numPr>
          <w:ilvl w:val="0"/>
          <w:numId w:val="2"/>
        </w:numPr>
        <w:spacing w:after="160" w:line="384" w:lineRule="auto"/>
        <w:rPr>
          <w:rFonts w:ascii="Times New Roman" w:hAnsi="Times New Roman" w:cs="Times New Roman"/>
          <w:sz w:val="24"/>
          <w:szCs w:val="24"/>
          <w:lang w:eastAsia="ko-KR"/>
        </w:rPr>
      </w:pPr>
      <w:r w:rsidRPr="006A5198">
        <w:rPr>
          <w:rFonts w:ascii="Times New Roman" w:hAnsi="Times New Roman" w:cs="Times New Roman"/>
          <w:sz w:val="24"/>
          <w:szCs w:val="24"/>
          <w:lang w:eastAsia="ko-KR"/>
        </w:rPr>
        <w:t xml:space="preserve">Deliver capacity building activities in and/or benefiting </w:t>
      </w:r>
      <w:r w:rsidR="00086454" w:rsidRPr="006A5198">
        <w:rPr>
          <w:rFonts w:ascii="Times New Roman" w:hAnsi="Times New Roman" w:cs="Times New Roman"/>
          <w:sz w:val="24"/>
          <w:szCs w:val="24"/>
          <w:lang w:eastAsia="ko-KR"/>
        </w:rPr>
        <w:t xml:space="preserve">most </w:t>
      </w:r>
      <w:r w:rsidRPr="006A5198">
        <w:rPr>
          <w:rFonts w:ascii="Times New Roman" w:hAnsi="Times New Roman" w:cs="Times New Roman"/>
          <w:sz w:val="24"/>
          <w:szCs w:val="24"/>
          <w:lang w:eastAsia="ko-KR"/>
        </w:rPr>
        <w:t xml:space="preserve">APEC </w:t>
      </w:r>
      <w:r w:rsidRPr="00A666F7">
        <w:rPr>
          <w:rFonts w:ascii="Times New Roman" w:hAnsi="Times New Roman" w:cs="Times New Roman"/>
          <w:sz w:val="24"/>
          <w:szCs w:val="24"/>
          <w:lang w:eastAsia="ko-KR"/>
        </w:rPr>
        <w:t>developing economies and with lessons applicable for APEC members more broadly.</w:t>
      </w:r>
    </w:p>
    <w:p w14:paraId="22D5FBBB" w14:textId="1FE0B9D1" w:rsidR="00B65F18" w:rsidRPr="00B65F18" w:rsidRDefault="00F83FA5" w:rsidP="00B65F18">
      <w:pPr>
        <w:pStyle w:val="ListParagraph"/>
        <w:numPr>
          <w:ilvl w:val="0"/>
          <w:numId w:val="2"/>
        </w:numPr>
        <w:wordWrap/>
        <w:autoSpaceDE/>
        <w:spacing w:after="160" w:line="384" w:lineRule="auto"/>
        <w:ind w:hanging="403"/>
        <w:rPr>
          <w:rFonts w:ascii="Times New Roman" w:hAnsi="Times New Roman" w:cs="Times New Roman"/>
          <w:sz w:val="24"/>
          <w:szCs w:val="24"/>
        </w:rPr>
      </w:pPr>
      <w:r w:rsidRPr="003C01B8">
        <w:rPr>
          <w:rFonts w:ascii="Times New Roman" w:eastAsiaTheme="minorEastAsia" w:hAnsi="Times New Roman" w:cs="Times New Roman"/>
          <w:sz w:val="24"/>
          <w:szCs w:val="24"/>
          <w:lang w:eastAsia="ko-KR"/>
        </w:rPr>
        <w:t xml:space="preserve">Align </w:t>
      </w:r>
      <w:r w:rsidRPr="00005A3D">
        <w:rPr>
          <w:rFonts w:ascii="Times New Roman" w:eastAsiaTheme="minorEastAsia" w:hAnsi="Times New Roman" w:cs="Times New Roman"/>
          <w:sz w:val="24"/>
          <w:szCs w:val="24"/>
          <w:lang w:eastAsia="ko-KR"/>
        </w:rPr>
        <w:t xml:space="preserve">with </w:t>
      </w:r>
      <w:r w:rsidR="00DF1B78" w:rsidRPr="00005A3D">
        <w:rPr>
          <w:rFonts w:ascii="Times New Roman" w:eastAsiaTheme="minorEastAsia" w:hAnsi="Times New Roman" w:cs="Times New Roman"/>
          <w:sz w:val="24"/>
          <w:szCs w:val="24"/>
          <w:lang w:eastAsia="ko-KR"/>
        </w:rPr>
        <w:t xml:space="preserve">one or more of </w:t>
      </w:r>
      <w:r w:rsidRPr="00005A3D">
        <w:rPr>
          <w:rFonts w:ascii="Times New Roman" w:hAnsi="Times New Roman" w:cs="Times New Roman"/>
          <w:sz w:val="24"/>
          <w:szCs w:val="24"/>
        </w:rPr>
        <w:t xml:space="preserve">the priorities </w:t>
      </w:r>
      <w:r w:rsidRPr="003C01B8">
        <w:rPr>
          <w:rFonts w:ascii="Times New Roman" w:hAnsi="Times New Roman" w:cs="Times New Roman"/>
          <w:sz w:val="24"/>
          <w:szCs w:val="24"/>
        </w:rPr>
        <w:t xml:space="preserve">of this </w:t>
      </w:r>
      <w:r w:rsidR="00DF1B78">
        <w:rPr>
          <w:rFonts w:ascii="Times New Roman" w:hAnsi="Times New Roman" w:cs="Times New Roman"/>
          <w:sz w:val="24"/>
          <w:szCs w:val="24"/>
        </w:rPr>
        <w:t>S</w:t>
      </w:r>
      <w:r w:rsidRPr="003C01B8">
        <w:rPr>
          <w:rFonts w:ascii="Times New Roman" w:hAnsi="Times New Roman" w:cs="Times New Roman"/>
          <w:sz w:val="24"/>
          <w:szCs w:val="24"/>
        </w:rPr>
        <w:t>ub-</w:t>
      </w:r>
      <w:r w:rsidR="00DF1B78">
        <w:rPr>
          <w:rFonts w:ascii="Times New Roman" w:hAnsi="Times New Roman" w:cs="Times New Roman"/>
          <w:sz w:val="24"/>
          <w:szCs w:val="24"/>
        </w:rPr>
        <w:t>F</w:t>
      </w:r>
      <w:r w:rsidRPr="003C01B8">
        <w:rPr>
          <w:rFonts w:ascii="Times New Roman" w:hAnsi="Times New Roman" w:cs="Times New Roman"/>
          <w:sz w:val="24"/>
          <w:szCs w:val="24"/>
        </w:rPr>
        <w:t>und as follows:</w:t>
      </w:r>
    </w:p>
    <w:p w14:paraId="7D5AA818" w14:textId="32AC9665" w:rsidR="009B6965" w:rsidRPr="00005A3D" w:rsidRDefault="009B6965" w:rsidP="008C2338">
      <w:pPr>
        <w:numPr>
          <w:ilvl w:val="1"/>
          <w:numId w:val="17"/>
        </w:numPr>
        <w:spacing w:line="384" w:lineRule="auto"/>
      </w:pPr>
      <w:r w:rsidRPr="00C149AE">
        <w:rPr>
          <w:rFonts w:ascii="Times New Roman"/>
          <w:sz w:val="24"/>
        </w:rPr>
        <w:t>Support</w:t>
      </w:r>
      <w:r>
        <w:rPr>
          <w:rFonts w:ascii="Times New Roman"/>
          <w:sz w:val="24"/>
        </w:rPr>
        <w:t xml:space="preserve"> young professionals</w:t>
      </w:r>
      <w:r w:rsidRPr="00C149AE">
        <w:rPr>
          <w:rFonts w:ascii="Times New Roman"/>
          <w:sz w:val="24"/>
        </w:rPr>
        <w:t xml:space="preserve"> pursuing careers in</w:t>
      </w:r>
      <w:r>
        <w:rPr>
          <w:rFonts w:ascii="Times New Roman"/>
          <w:sz w:val="24"/>
        </w:rPr>
        <w:t xml:space="preserve"> </w:t>
      </w:r>
      <w:r w:rsidRPr="00C149AE">
        <w:rPr>
          <w:rFonts w:ascii="Times New Roman"/>
          <w:sz w:val="24"/>
        </w:rPr>
        <w:t xml:space="preserve">education, science, and </w:t>
      </w:r>
      <w:proofErr w:type="gramStart"/>
      <w:r w:rsidRPr="00C149AE">
        <w:rPr>
          <w:rFonts w:ascii="Times New Roman"/>
          <w:sz w:val="24"/>
        </w:rPr>
        <w:t>policy</w:t>
      </w:r>
      <w:r>
        <w:rPr>
          <w:rFonts w:ascii="Times New Roman"/>
          <w:sz w:val="24"/>
        </w:rPr>
        <w:t>-making</w:t>
      </w:r>
      <w:proofErr w:type="gramEnd"/>
      <w:r w:rsidR="00F47B66">
        <w:rPr>
          <w:rFonts w:ascii="Times New Roman"/>
          <w:sz w:val="24"/>
        </w:rPr>
        <w:t xml:space="preserve"> </w:t>
      </w:r>
      <w:r w:rsidRPr="004D2CDE">
        <w:rPr>
          <w:rFonts w:ascii="Times New Roman"/>
          <w:sz w:val="24"/>
        </w:rPr>
        <w:t>within the APEC region, incorporating</w:t>
      </w:r>
      <w:r>
        <w:rPr>
          <w:rFonts w:ascii="Times New Roman"/>
          <w:sz w:val="24"/>
        </w:rPr>
        <w:t xml:space="preserve"> knowledge exchange, </w:t>
      </w:r>
      <w:proofErr w:type="gramStart"/>
      <w:r>
        <w:rPr>
          <w:rFonts w:ascii="Times New Roman"/>
          <w:sz w:val="24"/>
        </w:rPr>
        <w:t>and  learning</w:t>
      </w:r>
      <w:proofErr w:type="gramEnd"/>
      <w:r>
        <w:rPr>
          <w:rFonts w:ascii="Times New Roman"/>
          <w:sz w:val="24"/>
        </w:rPr>
        <w:t xml:space="preserve"> experiences, </w:t>
      </w:r>
      <w:proofErr w:type="gramStart"/>
      <w:r>
        <w:rPr>
          <w:rFonts w:ascii="Times New Roman"/>
          <w:sz w:val="24"/>
        </w:rPr>
        <w:t>to strengthen</w:t>
      </w:r>
      <w:proofErr w:type="gramEnd"/>
      <w:r>
        <w:rPr>
          <w:rFonts w:ascii="Times New Roman"/>
          <w:sz w:val="24"/>
        </w:rPr>
        <w:t xml:space="preserve"> </w:t>
      </w:r>
      <w:r w:rsidRPr="00C149AE">
        <w:rPr>
          <w:rFonts w:ascii="Times New Roman"/>
          <w:sz w:val="24"/>
        </w:rPr>
        <w:t xml:space="preserve">skill development, </w:t>
      </w:r>
      <w:r>
        <w:rPr>
          <w:rFonts w:ascii="Times New Roman"/>
          <w:sz w:val="24"/>
        </w:rPr>
        <w:t xml:space="preserve">mutual understanding and regional cooperation. </w:t>
      </w:r>
    </w:p>
    <w:p w14:paraId="19EFA173" w14:textId="68FFDBFA" w:rsidR="009B6965" w:rsidRPr="00005A3D" w:rsidRDefault="009B6965" w:rsidP="008C2338">
      <w:pPr>
        <w:numPr>
          <w:ilvl w:val="1"/>
          <w:numId w:val="17"/>
        </w:numPr>
        <w:spacing w:line="384" w:lineRule="auto"/>
      </w:pPr>
      <w:r>
        <w:rPr>
          <w:rFonts w:ascii="Times New Roman"/>
          <w:sz w:val="24"/>
        </w:rPr>
        <w:t xml:space="preserve">Foster </w:t>
      </w:r>
      <w:r w:rsidRPr="00C149AE">
        <w:rPr>
          <w:rFonts w:ascii="Times New Roman"/>
          <w:sz w:val="24"/>
        </w:rPr>
        <w:t>you</w:t>
      </w:r>
      <w:r>
        <w:rPr>
          <w:rFonts w:ascii="Times New Roman"/>
          <w:sz w:val="24"/>
        </w:rPr>
        <w:t>ng professional</w:t>
      </w:r>
      <w:r>
        <w:rPr>
          <w:rFonts w:ascii="Times New Roman"/>
          <w:sz w:val="24"/>
        </w:rPr>
        <w:t>’</w:t>
      </w:r>
      <w:r>
        <w:rPr>
          <w:rFonts w:ascii="Times New Roman"/>
          <w:sz w:val="24"/>
        </w:rPr>
        <w:t>s</w:t>
      </w:r>
      <w:r w:rsidRPr="00C149AE">
        <w:rPr>
          <w:rFonts w:ascii="Times New Roman"/>
          <w:sz w:val="24"/>
        </w:rPr>
        <w:t xml:space="preserve"> skill development, </w:t>
      </w:r>
      <w:r>
        <w:rPr>
          <w:rFonts w:ascii="Times New Roman"/>
          <w:sz w:val="24"/>
        </w:rPr>
        <w:t>including, but not limited to,</w:t>
      </w:r>
      <w:r w:rsidRPr="00C149AE">
        <w:rPr>
          <w:rFonts w:ascii="Times New Roman"/>
          <w:sz w:val="24"/>
        </w:rPr>
        <w:t xml:space="preserve"> enhancing capabilities in </w:t>
      </w:r>
      <w:r w:rsidR="00E244AB">
        <w:rPr>
          <w:rFonts w:ascii="Times New Roman"/>
          <w:sz w:val="24"/>
        </w:rPr>
        <w:t xml:space="preserve">ICT and </w:t>
      </w:r>
      <w:r w:rsidRPr="00C149AE">
        <w:rPr>
          <w:rFonts w:ascii="Times New Roman"/>
          <w:sz w:val="24"/>
        </w:rPr>
        <w:t xml:space="preserve">emerging </w:t>
      </w:r>
      <w:r>
        <w:rPr>
          <w:rFonts w:ascii="Times New Roman"/>
          <w:sz w:val="24"/>
        </w:rPr>
        <w:t xml:space="preserve">digital </w:t>
      </w:r>
      <w:r w:rsidRPr="00C149AE">
        <w:rPr>
          <w:rFonts w:ascii="Times New Roman"/>
          <w:sz w:val="24"/>
        </w:rPr>
        <w:t>technologies such as AI, cloud computing</w:t>
      </w:r>
      <w:r>
        <w:rPr>
          <w:rFonts w:ascii="Times New Roman"/>
          <w:sz w:val="24"/>
        </w:rPr>
        <w:t xml:space="preserve">, </w:t>
      </w:r>
      <w:r w:rsidRPr="00C149AE">
        <w:rPr>
          <w:rFonts w:ascii="Times New Roman"/>
          <w:sz w:val="24"/>
        </w:rPr>
        <w:t>big data</w:t>
      </w:r>
      <w:r>
        <w:rPr>
          <w:rFonts w:ascii="Times New Roman"/>
          <w:sz w:val="24"/>
        </w:rPr>
        <w:t>,</w:t>
      </w:r>
      <w:r w:rsidRPr="00005A3D">
        <w:rPr>
          <w:rFonts w:ascii="Times New Roman"/>
          <w:sz w:val="24"/>
        </w:rPr>
        <w:t xml:space="preserve"> </w:t>
      </w:r>
      <w:r>
        <w:rPr>
          <w:rFonts w:ascii="Times New Roman"/>
          <w:sz w:val="24"/>
        </w:rPr>
        <w:t xml:space="preserve">and advanced manufacturing. </w:t>
      </w:r>
    </w:p>
    <w:p w14:paraId="19116EA7" w14:textId="5707EC91" w:rsidR="009B6965" w:rsidRPr="00005A3D" w:rsidRDefault="009B6965" w:rsidP="008C2338">
      <w:pPr>
        <w:numPr>
          <w:ilvl w:val="1"/>
          <w:numId w:val="17"/>
        </w:numPr>
        <w:spacing w:line="384" w:lineRule="auto"/>
      </w:pPr>
      <w:r>
        <w:rPr>
          <w:rFonts w:ascii="Times New Roman"/>
          <w:sz w:val="24"/>
        </w:rPr>
        <w:t xml:space="preserve">Facilitate </w:t>
      </w:r>
      <w:r w:rsidRPr="00005A3D">
        <w:rPr>
          <w:rFonts w:ascii="Times New Roman"/>
          <w:sz w:val="24"/>
        </w:rPr>
        <w:t>policy research</w:t>
      </w:r>
      <w:r w:rsidRPr="00F063CD">
        <w:rPr>
          <w:rFonts w:ascii="Times New Roman"/>
          <w:sz w:val="24"/>
        </w:rPr>
        <w:t xml:space="preserve">, including </w:t>
      </w:r>
      <w:r w:rsidR="00E244AB">
        <w:rPr>
          <w:rFonts w:ascii="Times New Roman"/>
          <w:sz w:val="24"/>
        </w:rPr>
        <w:t xml:space="preserve">through </w:t>
      </w:r>
      <w:r w:rsidRPr="00005A3D">
        <w:rPr>
          <w:rFonts w:ascii="Times New Roman"/>
          <w:sz w:val="24"/>
        </w:rPr>
        <w:t>capacity building workshops</w:t>
      </w:r>
      <w:r w:rsidR="00E244AB">
        <w:rPr>
          <w:rFonts w:ascii="Times New Roman"/>
          <w:sz w:val="24"/>
        </w:rPr>
        <w:t>,</w:t>
      </w:r>
      <w:r w:rsidRPr="00005A3D">
        <w:rPr>
          <w:rFonts w:ascii="Times New Roman"/>
          <w:sz w:val="24"/>
        </w:rPr>
        <w:t xml:space="preserve"> </w:t>
      </w:r>
      <w:r>
        <w:rPr>
          <w:rFonts w:ascii="Times New Roman"/>
          <w:sz w:val="24"/>
        </w:rPr>
        <w:t>to</w:t>
      </w:r>
      <w:r w:rsidR="00E244AB">
        <w:rPr>
          <w:rFonts w:ascii="Times New Roman"/>
          <w:sz w:val="24"/>
        </w:rPr>
        <w:t xml:space="preserve"> inform and</w:t>
      </w:r>
      <w:r>
        <w:rPr>
          <w:rFonts w:ascii="Times New Roman"/>
          <w:sz w:val="24"/>
        </w:rPr>
        <w:t xml:space="preserve"> equip policymakers </w:t>
      </w:r>
      <w:r w:rsidRPr="00E120F9">
        <w:rPr>
          <w:rFonts w:ascii="Times New Roman"/>
          <w:sz w:val="24"/>
        </w:rPr>
        <w:t xml:space="preserve">with the knowledge and skills needed </w:t>
      </w:r>
      <w:r w:rsidRPr="00005A3D">
        <w:rPr>
          <w:rFonts w:ascii="Times New Roman"/>
          <w:sz w:val="24"/>
        </w:rPr>
        <w:t>to address</w:t>
      </w:r>
      <w:r>
        <w:rPr>
          <w:rFonts w:ascii="Times New Roman"/>
          <w:sz w:val="24"/>
        </w:rPr>
        <w:t>,</w:t>
      </w:r>
      <w:r w:rsidRPr="00005A3D">
        <w:rPr>
          <w:rFonts w:ascii="Times New Roman"/>
          <w:sz w:val="24"/>
        </w:rPr>
        <w:t xml:space="preserve"> </w:t>
      </w:r>
      <w:r w:rsidRPr="00E120F9">
        <w:rPr>
          <w:rFonts w:ascii="Times New Roman"/>
          <w:sz w:val="24"/>
        </w:rPr>
        <w:t>develop</w:t>
      </w:r>
      <w:r>
        <w:rPr>
          <w:rFonts w:ascii="Times New Roman"/>
          <w:sz w:val="24"/>
        </w:rPr>
        <w:t>,</w:t>
      </w:r>
      <w:r w:rsidRPr="00E120F9">
        <w:rPr>
          <w:rFonts w:ascii="Times New Roman"/>
          <w:sz w:val="24"/>
        </w:rPr>
        <w:t xml:space="preserve"> and implement policies that </w:t>
      </w:r>
      <w:r>
        <w:rPr>
          <w:rFonts w:ascii="Times New Roman"/>
          <w:sz w:val="24"/>
        </w:rPr>
        <w:t>respond to</w:t>
      </w:r>
      <w:r w:rsidRPr="00E120F9">
        <w:rPr>
          <w:rFonts w:ascii="Times New Roman"/>
          <w:sz w:val="24"/>
        </w:rPr>
        <w:t xml:space="preserve"> the needs and challenges facing the young generation </w:t>
      </w:r>
      <w:r>
        <w:rPr>
          <w:rFonts w:ascii="Times New Roman"/>
          <w:sz w:val="24"/>
        </w:rPr>
        <w:t>such as</w:t>
      </w:r>
      <w:r w:rsidRPr="00E120F9">
        <w:rPr>
          <w:rFonts w:ascii="Times New Roman"/>
          <w:sz w:val="24"/>
        </w:rPr>
        <w:t xml:space="preserve"> </w:t>
      </w:r>
      <w:r w:rsidRPr="00005A3D">
        <w:rPr>
          <w:rFonts w:ascii="Times New Roman"/>
          <w:sz w:val="24"/>
        </w:rPr>
        <w:t>issues related to demographic changes</w:t>
      </w:r>
      <w:r w:rsidRPr="00CA3C98">
        <w:rPr>
          <w:rFonts w:ascii="Times New Roman"/>
          <w:sz w:val="24"/>
        </w:rPr>
        <w:t xml:space="preserve"> </w:t>
      </w:r>
      <w:r>
        <w:rPr>
          <w:rFonts w:ascii="Times New Roman"/>
          <w:sz w:val="24"/>
        </w:rPr>
        <w:t>and environmental challenges</w:t>
      </w:r>
      <w:r w:rsidRPr="00005A3D">
        <w:rPr>
          <w:rFonts w:ascii="Times New Roman"/>
          <w:sz w:val="24"/>
        </w:rPr>
        <w:t>.</w:t>
      </w:r>
    </w:p>
    <w:p w14:paraId="44622A74" w14:textId="77777777" w:rsidR="009B6965" w:rsidRDefault="009B6965" w:rsidP="008C2338">
      <w:pPr>
        <w:numPr>
          <w:ilvl w:val="1"/>
          <w:numId w:val="17"/>
        </w:numPr>
        <w:spacing w:line="384" w:lineRule="auto"/>
        <w:rPr>
          <w:rFonts w:ascii="Times New Roman"/>
          <w:sz w:val="24"/>
        </w:rPr>
      </w:pPr>
      <w:r w:rsidRPr="00AE6BCC">
        <w:rPr>
          <w:rFonts w:ascii="Times New Roman"/>
          <w:sz w:val="24"/>
        </w:rPr>
        <w:t xml:space="preserve">Promote </w:t>
      </w:r>
      <w:r>
        <w:rPr>
          <w:rFonts w:ascii="Times New Roman"/>
          <w:sz w:val="24"/>
        </w:rPr>
        <w:t>youth entrepreneurship by equipping young professionals with the knowledge, skills</w:t>
      </w:r>
      <w:r>
        <w:rPr>
          <w:rFonts w:ascii="Times New Roman" w:hint="eastAsia"/>
          <w:sz w:val="24"/>
        </w:rPr>
        <w:t>,</w:t>
      </w:r>
      <w:r>
        <w:rPr>
          <w:rFonts w:ascii="Times New Roman"/>
          <w:sz w:val="24"/>
        </w:rPr>
        <w:t xml:space="preserve"> and tools to support and grow </w:t>
      </w:r>
      <w:r w:rsidRPr="00AE6BCC">
        <w:rPr>
          <w:rFonts w:ascii="Times New Roman"/>
          <w:sz w:val="24"/>
        </w:rPr>
        <w:t>youth-</w:t>
      </w:r>
      <w:r>
        <w:rPr>
          <w:rFonts w:ascii="Times New Roman"/>
          <w:sz w:val="24"/>
        </w:rPr>
        <w:t>driven</w:t>
      </w:r>
      <w:r w:rsidRPr="00AE6BCC">
        <w:rPr>
          <w:rFonts w:ascii="Times New Roman"/>
          <w:sz w:val="24"/>
        </w:rPr>
        <w:t xml:space="preserve"> start-ups, MSMEs </w:t>
      </w:r>
      <w:r>
        <w:rPr>
          <w:rFonts w:ascii="Times New Roman"/>
          <w:sz w:val="24"/>
        </w:rPr>
        <w:t>and other entrepreneurial ventures, including through training, mentorship, and exposure to entrepreneurial ecosystems</w:t>
      </w:r>
      <w:r w:rsidRPr="00AE6BCC">
        <w:rPr>
          <w:rFonts w:ascii="Times New Roman"/>
          <w:sz w:val="24"/>
        </w:rPr>
        <w:t xml:space="preserve">. </w:t>
      </w:r>
    </w:p>
    <w:p w14:paraId="2ED6C293" w14:textId="7E50AEDC" w:rsidR="009B6965" w:rsidRPr="009B6965" w:rsidRDefault="009B6965" w:rsidP="009B6965">
      <w:pPr>
        <w:numPr>
          <w:ilvl w:val="1"/>
          <w:numId w:val="17"/>
        </w:numPr>
        <w:spacing w:line="384" w:lineRule="auto"/>
        <w:rPr>
          <w:rFonts w:ascii="Times New Roman"/>
          <w:sz w:val="24"/>
        </w:rPr>
      </w:pPr>
      <w:r w:rsidRPr="009B6965">
        <w:rPr>
          <w:rFonts w:ascii="Times New Roman"/>
          <w:sz w:val="24"/>
        </w:rPr>
        <w:t>Support efforts to promote youth employment through capacity building and connecting young professionals.</w:t>
      </w:r>
    </w:p>
    <w:p w14:paraId="5E7E2B6A" w14:textId="54473DCB" w:rsidR="00F83FA5" w:rsidRPr="006D52F0" w:rsidRDefault="009B6965" w:rsidP="00C113D0">
      <w:pPr>
        <w:pStyle w:val="ListParagraph"/>
      </w:pPr>
      <w:r>
        <w:rPr>
          <w:rFonts w:ascii="Times New Roman"/>
          <w:sz w:val="24"/>
        </w:rPr>
        <w:t xml:space="preserve"> </w:t>
      </w:r>
    </w:p>
    <w:p w14:paraId="1695CC7A" w14:textId="5642AED9" w:rsidR="008D592F" w:rsidRPr="006D52F0" w:rsidRDefault="00546EF2" w:rsidP="00CD6242">
      <w:pPr>
        <w:pStyle w:val="ListParagraph"/>
        <w:numPr>
          <w:ilvl w:val="0"/>
          <w:numId w:val="2"/>
        </w:numPr>
        <w:wordWrap/>
        <w:autoSpaceDE/>
        <w:spacing w:after="160" w:line="384" w:lineRule="auto"/>
        <w:ind w:hanging="403"/>
        <w:rPr>
          <w:rFonts w:ascii="Times New Roman" w:eastAsiaTheme="minorEastAsia" w:hAnsi="Times New Roman" w:cs="Times New Roman"/>
          <w:sz w:val="24"/>
          <w:szCs w:val="24"/>
          <w:lang w:eastAsia="ko-KR"/>
        </w:rPr>
      </w:pPr>
      <w:r w:rsidRPr="006D52F0">
        <w:rPr>
          <w:rFonts w:ascii="Times New Roman" w:eastAsiaTheme="minorEastAsia" w:hAnsi="Times New Roman" w:cs="Times New Roman"/>
          <w:sz w:val="24"/>
          <w:szCs w:val="24"/>
          <w:lang w:eastAsia="ko-KR"/>
        </w:rPr>
        <w:t xml:space="preserve">Build </w:t>
      </w:r>
      <w:r w:rsidR="00622B53">
        <w:rPr>
          <w:rFonts w:ascii="Times New Roman" w:eastAsiaTheme="minorEastAsia" w:hAnsi="Times New Roman" w:cs="Times New Roman"/>
          <w:sz w:val="24"/>
          <w:szCs w:val="24"/>
          <w:lang w:eastAsia="ko-KR"/>
        </w:rPr>
        <w:t xml:space="preserve">the </w:t>
      </w:r>
      <w:r w:rsidRPr="006D52F0">
        <w:rPr>
          <w:rFonts w:ascii="Times New Roman" w:eastAsiaTheme="minorEastAsia" w:hAnsi="Times New Roman" w:cs="Times New Roman"/>
          <w:sz w:val="24"/>
          <w:szCs w:val="24"/>
          <w:lang w:eastAsia="ko-KR"/>
        </w:rPr>
        <w:t>capacity of individuals, local businesses, non-governmental organizations</w:t>
      </w:r>
      <w:r w:rsidR="006D52F0">
        <w:rPr>
          <w:rFonts w:ascii="Times New Roman" w:eastAsiaTheme="minorEastAsia" w:hAnsi="Times New Roman" w:cs="Times New Roman"/>
          <w:sz w:val="24"/>
          <w:szCs w:val="24"/>
          <w:lang w:eastAsia="ko-KR"/>
        </w:rPr>
        <w:t xml:space="preserve"> </w:t>
      </w:r>
      <w:r w:rsidRPr="006D52F0">
        <w:rPr>
          <w:rFonts w:ascii="Times New Roman" w:eastAsiaTheme="minorEastAsia" w:hAnsi="Times New Roman" w:cs="Times New Roman"/>
          <w:sz w:val="24"/>
          <w:szCs w:val="24"/>
          <w:lang w:eastAsia="ko-KR"/>
        </w:rPr>
        <w:t xml:space="preserve">business associations, civil society organizations, and/or government officials and institutions charged with implementing programs or policies impacting the economic participation of </w:t>
      </w:r>
      <w:r w:rsidR="000C7765">
        <w:rPr>
          <w:rFonts w:ascii="Times New Roman" w:eastAsiaTheme="minorEastAsia" w:hAnsi="Times New Roman" w:cs="Times New Roman"/>
          <w:sz w:val="24"/>
          <w:szCs w:val="24"/>
          <w:lang w:eastAsia="ko-KR"/>
        </w:rPr>
        <w:t>young</w:t>
      </w:r>
      <w:r w:rsidR="00BF76C8">
        <w:rPr>
          <w:rFonts w:ascii="Times New Roman" w:eastAsiaTheme="minorEastAsia" w:hAnsi="Times New Roman" w:cs="Times New Roman"/>
          <w:sz w:val="24"/>
          <w:szCs w:val="24"/>
          <w:lang w:eastAsia="ko-KR"/>
        </w:rPr>
        <w:t xml:space="preserve"> </w:t>
      </w:r>
      <w:r w:rsidR="000C7765">
        <w:rPr>
          <w:rFonts w:ascii="Times New Roman" w:eastAsiaTheme="minorEastAsia" w:hAnsi="Times New Roman" w:cs="Times New Roman"/>
          <w:sz w:val="24"/>
          <w:szCs w:val="24"/>
          <w:lang w:eastAsia="ko-KR"/>
        </w:rPr>
        <w:t>generations</w:t>
      </w:r>
      <w:r w:rsidRPr="006D52F0">
        <w:rPr>
          <w:rFonts w:ascii="Times New Roman" w:eastAsiaTheme="minorEastAsia" w:hAnsi="Times New Roman" w:cs="Times New Roman"/>
          <w:sz w:val="24"/>
          <w:szCs w:val="24"/>
          <w:lang w:eastAsia="ko-KR"/>
        </w:rPr>
        <w:t>.</w:t>
      </w:r>
    </w:p>
    <w:p w14:paraId="0BD233AC" w14:textId="3658CE98" w:rsidR="008D592F" w:rsidRPr="00FD227D" w:rsidRDefault="00546EF2">
      <w:pPr>
        <w:pStyle w:val="ListParagraph"/>
        <w:numPr>
          <w:ilvl w:val="0"/>
          <w:numId w:val="2"/>
        </w:numPr>
        <w:spacing w:after="160" w:line="384" w:lineRule="auto"/>
        <w:rPr>
          <w:rFonts w:ascii="Times New Roman"/>
          <w:sz w:val="24"/>
          <w:lang w:eastAsia="ko-KR"/>
        </w:rPr>
      </w:pPr>
      <w:r w:rsidRPr="00FD227D">
        <w:rPr>
          <w:rFonts w:ascii="Times New Roman" w:hint="eastAsia"/>
          <w:sz w:val="24"/>
          <w:szCs w:val="24"/>
          <w:lang w:eastAsia="ko-KR"/>
        </w:rPr>
        <w:t xml:space="preserve">Detail how the proposed initiative </w:t>
      </w:r>
      <w:r w:rsidR="006D52F0" w:rsidRPr="00FD227D">
        <w:rPr>
          <w:rFonts w:ascii="Times New Roman"/>
          <w:sz w:val="24"/>
          <w:szCs w:val="24"/>
          <w:lang w:eastAsia="ko-KR"/>
        </w:rPr>
        <w:t xml:space="preserve">will </w:t>
      </w:r>
      <w:r w:rsidR="00E244AB">
        <w:rPr>
          <w:rFonts w:ascii="Times New Roman"/>
          <w:sz w:val="24"/>
          <w:szCs w:val="24"/>
          <w:lang w:eastAsia="ko-KR"/>
        </w:rPr>
        <w:t xml:space="preserve">further economic participation and </w:t>
      </w:r>
      <w:r w:rsidR="00FD227D" w:rsidRPr="00FD227D">
        <w:rPr>
          <w:rFonts w:ascii="Times New Roman"/>
          <w:sz w:val="24"/>
          <w:szCs w:val="24"/>
          <w:lang w:eastAsia="ko-KR"/>
        </w:rPr>
        <w:t xml:space="preserve">bring </w:t>
      </w:r>
      <w:r w:rsidR="00FD227D">
        <w:rPr>
          <w:rFonts w:ascii="Times New Roman"/>
          <w:sz w:val="24"/>
          <w:szCs w:val="24"/>
          <w:lang w:eastAsia="ko-KR"/>
        </w:rPr>
        <w:t>economic</w:t>
      </w:r>
      <w:r w:rsidR="00FD227D" w:rsidRPr="00FD227D">
        <w:rPr>
          <w:rFonts w:ascii="Times New Roman"/>
          <w:sz w:val="24"/>
          <w:szCs w:val="24"/>
          <w:lang w:eastAsia="ko-KR"/>
        </w:rPr>
        <w:t xml:space="preserve"> benefits to</w:t>
      </w:r>
      <w:r w:rsidR="00981B72">
        <w:rPr>
          <w:rFonts w:ascii="Times New Roman"/>
          <w:sz w:val="24"/>
          <w:szCs w:val="24"/>
          <w:lang w:eastAsia="ko-KR"/>
        </w:rPr>
        <w:t xml:space="preserve"> the young generation and</w:t>
      </w:r>
      <w:r w:rsidR="00CA095E">
        <w:rPr>
          <w:rFonts w:ascii="Times New Roman"/>
          <w:sz w:val="24"/>
          <w:szCs w:val="24"/>
          <w:lang w:eastAsia="ko-KR"/>
        </w:rPr>
        <w:t xml:space="preserve"> the APEC region</w:t>
      </w:r>
      <w:r w:rsidR="00FD227D">
        <w:rPr>
          <w:rFonts w:ascii="Times New Roman"/>
          <w:sz w:val="24"/>
          <w:szCs w:val="24"/>
          <w:lang w:eastAsia="ko-KR"/>
        </w:rPr>
        <w:t xml:space="preserve">, including </w:t>
      </w:r>
      <w:r w:rsidR="00FD227D" w:rsidRPr="00FD227D">
        <w:rPr>
          <w:rFonts w:ascii="Times New Roman"/>
          <w:sz w:val="24"/>
          <w:szCs w:val="24"/>
          <w:lang w:eastAsia="ko-KR"/>
        </w:rPr>
        <w:t xml:space="preserve">MSMEs, </w:t>
      </w:r>
      <w:r w:rsidR="00FD227D" w:rsidRPr="00FD227D">
        <w:rPr>
          <w:rFonts w:ascii="Times New Roman"/>
          <w:sz w:val="24"/>
          <w:szCs w:val="24"/>
          <w:lang w:eastAsia="ko-KR"/>
        </w:rPr>
        <w:lastRenderedPageBreak/>
        <w:t>women</w:t>
      </w:r>
      <w:r w:rsidR="00FD227D">
        <w:rPr>
          <w:rFonts w:ascii="Times New Roman"/>
          <w:sz w:val="24"/>
          <w:szCs w:val="24"/>
          <w:lang w:eastAsia="ko-KR"/>
        </w:rPr>
        <w:t xml:space="preserve">, </w:t>
      </w:r>
      <w:r w:rsidR="00E244AB">
        <w:rPr>
          <w:rFonts w:ascii="Times New Roman"/>
          <w:sz w:val="24"/>
          <w:szCs w:val="24"/>
          <w:lang w:eastAsia="ko-KR"/>
        </w:rPr>
        <w:t>Indigenous Peoples</w:t>
      </w:r>
      <w:r w:rsidR="00226E7B">
        <w:rPr>
          <w:rFonts w:ascii="Times New Roman"/>
          <w:sz w:val="24"/>
          <w:szCs w:val="24"/>
          <w:lang w:eastAsia="ko-KR"/>
        </w:rPr>
        <w:t xml:space="preserve"> as appropriate</w:t>
      </w:r>
      <w:r w:rsidR="00E244AB">
        <w:rPr>
          <w:rFonts w:ascii="Times New Roman"/>
          <w:sz w:val="24"/>
          <w:szCs w:val="24"/>
          <w:lang w:eastAsia="ko-KR"/>
        </w:rPr>
        <w:t xml:space="preserve">, </w:t>
      </w:r>
      <w:r w:rsidR="00FD227D">
        <w:rPr>
          <w:rFonts w:ascii="Times New Roman"/>
          <w:sz w:val="24"/>
          <w:szCs w:val="24"/>
          <w:lang w:eastAsia="ko-KR"/>
        </w:rPr>
        <w:t xml:space="preserve">and </w:t>
      </w:r>
      <w:r w:rsidR="00E244AB">
        <w:rPr>
          <w:rFonts w:ascii="Times New Roman"/>
          <w:sz w:val="24"/>
          <w:szCs w:val="24"/>
          <w:lang w:eastAsia="ko-KR"/>
        </w:rPr>
        <w:t xml:space="preserve">other groups </w:t>
      </w:r>
      <w:r w:rsidR="00FD227D">
        <w:rPr>
          <w:rFonts w:ascii="Times New Roman"/>
          <w:sz w:val="24"/>
          <w:szCs w:val="24"/>
          <w:lang w:eastAsia="ko-KR"/>
        </w:rPr>
        <w:t xml:space="preserve">with untapped economic </w:t>
      </w:r>
      <w:proofErr w:type="gramStart"/>
      <w:r w:rsidR="00FD227D">
        <w:rPr>
          <w:rFonts w:ascii="Times New Roman"/>
          <w:sz w:val="24"/>
          <w:szCs w:val="24"/>
          <w:lang w:eastAsia="ko-KR"/>
        </w:rPr>
        <w:t>potential .</w:t>
      </w:r>
      <w:proofErr w:type="gramEnd"/>
      <w:r w:rsidR="00FD227D" w:rsidRPr="00FD227D">
        <w:rPr>
          <w:rFonts w:ascii="Times New Roman"/>
          <w:sz w:val="24"/>
          <w:szCs w:val="24"/>
          <w:lang w:eastAsia="ko-KR"/>
        </w:rPr>
        <w:t xml:space="preserve"> </w:t>
      </w:r>
    </w:p>
    <w:p w14:paraId="1A150EAD" w14:textId="77777777" w:rsidR="008D592F" w:rsidRPr="006B1080" w:rsidRDefault="00546EF2">
      <w:pPr>
        <w:pStyle w:val="ListParagraph"/>
        <w:numPr>
          <w:ilvl w:val="0"/>
          <w:numId w:val="2"/>
        </w:numPr>
        <w:spacing w:after="160" w:line="384" w:lineRule="auto"/>
        <w:rPr>
          <w:rFonts w:ascii="Times New Roman"/>
          <w:sz w:val="24"/>
          <w:lang w:eastAsia="ko-KR"/>
        </w:rPr>
      </w:pPr>
      <w:r w:rsidRPr="006B1080">
        <w:rPr>
          <w:rFonts w:ascii="Times New Roman" w:hint="eastAsia"/>
          <w:sz w:val="24"/>
          <w:lang w:eastAsia="ko-KR"/>
        </w:rPr>
        <w:t>Use an evidence-based mode of implementation, using internationally-recognised data where available.</w:t>
      </w:r>
    </w:p>
    <w:p w14:paraId="34E0B760" w14:textId="3DDD3B36" w:rsidR="008D592F" w:rsidRPr="006B1080" w:rsidRDefault="00546EF2">
      <w:pPr>
        <w:pStyle w:val="ListParagraph"/>
        <w:numPr>
          <w:ilvl w:val="0"/>
          <w:numId w:val="2"/>
        </w:numPr>
        <w:spacing w:after="160" w:line="384" w:lineRule="auto"/>
        <w:rPr>
          <w:rFonts w:ascii="Times New Roman"/>
          <w:sz w:val="24"/>
          <w:lang w:eastAsia="ko-KR"/>
        </w:rPr>
      </w:pPr>
      <w:r w:rsidRPr="006B1080">
        <w:rPr>
          <w:rFonts w:ascii="Times New Roman" w:hint="eastAsia"/>
          <w:sz w:val="24"/>
          <w:lang w:eastAsia="ko-KR"/>
        </w:rPr>
        <w:t xml:space="preserve">Ensure participation and/or planning input from a broad range of stakeholders, </w:t>
      </w:r>
      <w:r w:rsidR="006D52F0" w:rsidRPr="006D52F0">
        <w:rPr>
          <w:rFonts w:ascii="Times New Roman"/>
          <w:sz w:val="24"/>
          <w:lang w:eastAsia="ko-KR"/>
        </w:rPr>
        <w:t xml:space="preserve">including </w:t>
      </w:r>
      <w:r w:rsidR="000C7765">
        <w:rPr>
          <w:rFonts w:ascii="Times New Roman"/>
          <w:sz w:val="24"/>
          <w:lang w:eastAsia="ko-KR"/>
        </w:rPr>
        <w:t>the young generations</w:t>
      </w:r>
      <w:r w:rsidR="006D52F0" w:rsidRPr="006D52F0">
        <w:rPr>
          <w:rFonts w:ascii="Times New Roman"/>
          <w:sz w:val="24"/>
          <w:lang w:eastAsia="ko-KR"/>
        </w:rPr>
        <w:t xml:space="preserve"> and organizations that represent them,</w:t>
      </w:r>
      <w:r w:rsidR="006D52F0">
        <w:rPr>
          <w:rFonts w:ascii="Times New Roman"/>
          <w:sz w:val="24"/>
          <w:lang w:eastAsia="ko-KR"/>
        </w:rPr>
        <w:t xml:space="preserve"> </w:t>
      </w:r>
      <w:r w:rsidRPr="006B1080">
        <w:rPr>
          <w:rFonts w:ascii="Times New Roman" w:hint="eastAsia"/>
          <w:sz w:val="24"/>
          <w:lang w:eastAsia="ko-KR"/>
        </w:rPr>
        <w:t>private sector, civil society, as</w:t>
      </w:r>
      <w:r w:rsidR="006D52F0">
        <w:rPr>
          <w:rFonts w:ascii="Times New Roman"/>
          <w:sz w:val="24"/>
          <w:lang w:eastAsia="ko-KR"/>
        </w:rPr>
        <w:t xml:space="preserve"> </w:t>
      </w:r>
      <w:r w:rsidRPr="006B1080">
        <w:rPr>
          <w:rFonts w:ascii="Times New Roman" w:hint="eastAsia"/>
          <w:sz w:val="24"/>
          <w:lang w:eastAsia="ko-KR"/>
        </w:rPr>
        <w:t>well as academic and financial institutions.</w:t>
      </w:r>
    </w:p>
    <w:p w14:paraId="54831BD5" w14:textId="0C39A5A3" w:rsidR="00395E3A" w:rsidRPr="006B1080" w:rsidRDefault="002C3617" w:rsidP="00887B1D">
      <w:pPr>
        <w:pStyle w:val="ListParagraph"/>
        <w:numPr>
          <w:ilvl w:val="0"/>
          <w:numId w:val="2"/>
        </w:numPr>
        <w:spacing w:after="160" w:line="384" w:lineRule="auto"/>
        <w:rPr>
          <w:rFonts w:ascii="Times New Roman" w:hAnsi="Times New Roman" w:cs="Times New Roman"/>
          <w:sz w:val="24"/>
          <w:lang w:eastAsia="ko-KR"/>
        </w:rPr>
      </w:pPr>
      <w:r w:rsidRPr="006B1080">
        <w:rPr>
          <w:rFonts w:ascii="Times New Roman" w:eastAsia="Malgun Gothic" w:hAnsi="Times New Roman" w:cs="Times New Roman"/>
          <w:sz w:val="24"/>
          <w:lang w:eastAsia="ko-KR"/>
        </w:rPr>
        <w:t>A</w:t>
      </w:r>
      <w:r w:rsidR="00395E3A" w:rsidRPr="006B1080">
        <w:rPr>
          <w:rFonts w:ascii="Times New Roman" w:eastAsia="Malgun Gothic" w:hAnsi="Times New Roman" w:cs="Times New Roman"/>
          <w:sz w:val="24"/>
          <w:lang w:eastAsia="ko-KR"/>
        </w:rPr>
        <w:t xml:space="preserve"> funding cap of USD </w:t>
      </w:r>
      <w:r w:rsidR="00005A3D" w:rsidRPr="006B1080">
        <w:rPr>
          <w:rFonts w:ascii="Times New Roman" w:eastAsia="Malgun Gothic" w:hAnsi="Times New Roman" w:cs="Times New Roman"/>
          <w:sz w:val="24"/>
          <w:lang w:eastAsia="ko-KR"/>
        </w:rPr>
        <w:t>1</w:t>
      </w:r>
      <w:r w:rsidRPr="006B1080">
        <w:rPr>
          <w:rFonts w:ascii="Times New Roman" w:eastAsia="Malgun Gothic" w:hAnsi="Times New Roman" w:cs="Times New Roman"/>
          <w:sz w:val="24"/>
          <w:lang w:eastAsia="ko-KR"/>
        </w:rPr>
        <w:t>5</w:t>
      </w:r>
      <w:r w:rsidR="00395E3A" w:rsidRPr="006B1080">
        <w:rPr>
          <w:rFonts w:ascii="Times New Roman" w:eastAsia="Malgun Gothic" w:hAnsi="Times New Roman" w:cs="Times New Roman"/>
          <w:sz w:val="24"/>
          <w:lang w:eastAsia="ko-KR"/>
        </w:rPr>
        <w:t xml:space="preserve">0,000 will apply to </w:t>
      </w:r>
      <w:r w:rsidR="00887B1D" w:rsidRPr="006B1080">
        <w:rPr>
          <w:rFonts w:ascii="Times New Roman" w:eastAsia="Malgun Gothic" w:hAnsi="Times New Roman" w:cs="Times New Roman"/>
          <w:sz w:val="24"/>
          <w:lang w:eastAsia="ko-KR"/>
        </w:rPr>
        <w:t>p</w:t>
      </w:r>
      <w:r w:rsidR="00034E54" w:rsidRPr="006B1080">
        <w:rPr>
          <w:rFonts w:ascii="Times New Roman" w:eastAsia="Malgun Gothic" w:hAnsi="Times New Roman" w:cs="Times New Roman"/>
          <w:sz w:val="24"/>
          <w:lang w:eastAsia="ko-KR"/>
        </w:rPr>
        <w:t xml:space="preserve">roject </w:t>
      </w:r>
      <w:r w:rsidR="00887B1D" w:rsidRPr="006B1080">
        <w:rPr>
          <w:rFonts w:ascii="Times New Roman" w:eastAsia="Malgun Gothic" w:hAnsi="Times New Roman" w:cs="Times New Roman"/>
          <w:sz w:val="24"/>
          <w:lang w:eastAsia="ko-KR"/>
        </w:rPr>
        <w:t>p</w:t>
      </w:r>
      <w:r w:rsidR="00034E54" w:rsidRPr="006B1080">
        <w:rPr>
          <w:rFonts w:ascii="Times New Roman" w:eastAsia="Malgun Gothic" w:hAnsi="Times New Roman" w:cs="Times New Roman"/>
          <w:sz w:val="24"/>
          <w:lang w:eastAsia="ko-KR"/>
        </w:rPr>
        <w:t>roposal</w:t>
      </w:r>
      <w:r w:rsidR="00395E3A" w:rsidRPr="006B1080">
        <w:rPr>
          <w:rFonts w:ascii="Times New Roman" w:eastAsia="Malgun Gothic" w:hAnsi="Times New Roman" w:cs="Times New Roman"/>
          <w:sz w:val="24"/>
          <w:lang w:eastAsia="ko-KR"/>
        </w:rPr>
        <w:t xml:space="preserve"> applying for the </w:t>
      </w:r>
      <w:r w:rsidRPr="006B1080">
        <w:rPr>
          <w:rFonts w:ascii="Times New Roman" w:eastAsia="Malgun Gothic" w:hAnsi="Times New Roman" w:cs="Times New Roman"/>
          <w:sz w:val="24"/>
          <w:lang w:eastAsia="ko-KR"/>
        </w:rPr>
        <w:t>S</w:t>
      </w:r>
      <w:r w:rsidR="00395E3A" w:rsidRPr="006B1080">
        <w:rPr>
          <w:rFonts w:ascii="Times New Roman" w:eastAsia="Malgun Gothic" w:hAnsi="Times New Roman" w:cs="Times New Roman"/>
          <w:sz w:val="24"/>
          <w:lang w:eastAsia="ko-KR"/>
        </w:rPr>
        <w:t>ub-</w:t>
      </w:r>
      <w:r w:rsidRPr="006B1080">
        <w:rPr>
          <w:rFonts w:ascii="Times New Roman" w:eastAsia="Malgun Gothic" w:hAnsi="Times New Roman" w:cs="Times New Roman"/>
          <w:sz w:val="24"/>
          <w:lang w:eastAsia="ko-KR"/>
        </w:rPr>
        <w:t>F</w:t>
      </w:r>
      <w:r w:rsidR="00395E3A" w:rsidRPr="006B1080">
        <w:rPr>
          <w:rFonts w:ascii="Times New Roman" w:eastAsia="Malgun Gothic" w:hAnsi="Times New Roman" w:cs="Times New Roman"/>
          <w:sz w:val="24"/>
          <w:lang w:eastAsia="ko-KR"/>
        </w:rPr>
        <w:t>und</w:t>
      </w:r>
      <w:r w:rsidRPr="006B1080">
        <w:rPr>
          <w:rFonts w:ascii="Times New Roman" w:eastAsia="Malgun Gothic" w:hAnsi="Times New Roman" w:cs="Times New Roman"/>
          <w:sz w:val="24"/>
          <w:lang w:eastAsia="ko-KR"/>
        </w:rPr>
        <w:t xml:space="preserve"> not inclusive of any self-funding/co-funding portions of the project</w:t>
      </w:r>
      <w:r w:rsidR="00395E3A" w:rsidRPr="006B1080">
        <w:rPr>
          <w:rFonts w:ascii="Times New Roman" w:eastAsia="Malgun Gothic" w:hAnsi="Times New Roman" w:cs="Times New Roman"/>
          <w:sz w:val="24"/>
          <w:lang w:eastAsia="ko-KR"/>
        </w:rPr>
        <w:t>.</w:t>
      </w:r>
    </w:p>
    <w:p w14:paraId="4597060F" w14:textId="2D68CC28" w:rsidR="008D592F" w:rsidRPr="008063C5" w:rsidRDefault="00546EF2" w:rsidP="008063C5">
      <w:pPr>
        <w:pStyle w:val="ListParagraph"/>
        <w:numPr>
          <w:ilvl w:val="0"/>
          <w:numId w:val="2"/>
        </w:numPr>
        <w:spacing w:after="160" w:line="384" w:lineRule="auto"/>
        <w:rPr>
          <w:rFonts w:ascii="Times New Roman"/>
          <w:sz w:val="24"/>
          <w:lang w:eastAsia="ko-KR"/>
        </w:rPr>
      </w:pPr>
      <w:r w:rsidRPr="006B1080">
        <w:rPr>
          <w:rFonts w:ascii="Times New Roman" w:hint="eastAsia"/>
          <w:sz w:val="24"/>
          <w:lang w:eastAsia="ko-KR"/>
        </w:rPr>
        <w:t xml:space="preserve">Be otherwise assessed as eligible by the </w:t>
      </w:r>
      <w:r w:rsidR="00FC700D" w:rsidRPr="004B3EF8">
        <w:rPr>
          <w:rFonts w:ascii="Times New Roman"/>
          <w:sz w:val="24"/>
          <w:lang w:eastAsia="ko-KR"/>
        </w:rPr>
        <w:t>SCE</w:t>
      </w:r>
      <w:r w:rsidRPr="006B1080">
        <w:rPr>
          <w:rFonts w:ascii="Times New Roman" w:hint="eastAsia"/>
          <w:sz w:val="24"/>
          <w:lang w:eastAsia="ko-KR"/>
        </w:rPr>
        <w:t>.</w:t>
      </w:r>
      <w:r w:rsidRPr="006B1080">
        <w:rPr>
          <w:rFonts w:ascii="Times New Roman" w:hint="eastAsia"/>
          <w:sz w:val="24"/>
          <w:lang w:eastAsia="ko-KR"/>
        </w:rPr>
        <w:tab/>
      </w:r>
    </w:p>
    <w:p w14:paraId="4DD054C6" w14:textId="139F28A6" w:rsidR="008D592F" w:rsidRPr="006B1080" w:rsidRDefault="00546EF2">
      <w:pPr>
        <w:pStyle w:val="a"/>
        <w:spacing w:after="160"/>
        <w:rPr>
          <w:rFonts w:ascii="Times New Roman"/>
          <w:color w:val="auto"/>
          <w:sz w:val="24"/>
        </w:rPr>
      </w:pPr>
      <w:r w:rsidRPr="006B1080">
        <w:rPr>
          <w:rFonts w:ascii="Times New Roman"/>
          <w:b/>
          <w:color w:val="auto"/>
          <w:sz w:val="24"/>
          <w:u w:val="single"/>
        </w:rPr>
        <w:t xml:space="preserve">Procedures to access the </w:t>
      </w:r>
      <w:r w:rsidR="00B34DAC" w:rsidRPr="006B1080">
        <w:rPr>
          <w:rFonts w:ascii="Times New Roman" w:eastAsia="Times New Roman" w:hAnsi="Times New Roman" w:cs="Times New Roman"/>
          <w:b/>
          <w:bCs/>
          <w:color w:val="auto"/>
          <w:sz w:val="24"/>
          <w:szCs w:val="24"/>
          <w:u w:val="single"/>
        </w:rPr>
        <w:t>Prosperi</w:t>
      </w:r>
      <w:r w:rsidR="00B34DAC" w:rsidRPr="006B1080">
        <w:rPr>
          <w:rFonts w:ascii="Times New Roman" w:eastAsia="Malgun Gothic" w:hAnsi="Times New Roman" w:cs="Times New Roman"/>
          <w:b/>
          <w:bCs/>
          <w:color w:val="auto"/>
          <w:sz w:val="24"/>
          <w:szCs w:val="24"/>
          <w:u w:val="single"/>
        </w:rPr>
        <w:t>ty of</w:t>
      </w:r>
      <w:r w:rsidR="00B34DAC" w:rsidRPr="006B1080">
        <w:rPr>
          <w:rFonts w:ascii="Times New Roman" w:eastAsia="Times New Roman" w:hAnsi="Times New Roman" w:cs="Times New Roman"/>
          <w:b/>
          <w:bCs/>
          <w:color w:val="auto"/>
          <w:sz w:val="24"/>
          <w:szCs w:val="24"/>
          <w:u w:val="single"/>
        </w:rPr>
        <w:t xml:space="preserve"> Future Generations</w:t>
      </w:r>
      <w:r w:rsidRPr="006B1080">
        <w:rPr>
          <w:rFonts w:ascii="Times New Roman"/>
          <w:b/>
          <w:color w:val="auto"/>
          <w:sz w:val="24"/>
          <w:u w:val="single"/>
        </w:rPr>
        <w:t xml:space="preserve"> Sub-Fund</w:t>
      </w:r>
    </w:p>
    <w:p w14:paraId="1A4188C1" w14:textId="78864501" w:rsidR="00DF0575" w:rsidRPr="006B1080" w:rsidRDefault="00E86752">
      <w:pPr>
        <w:spacing w:line="384" w:lineRule="auto"/>
        <w:rPr>
          <w:rFonts w:ascii="Times New Roman"/>
          <w:b/>
          <w:i/>
          <w:sz w:val="24"/>
        </w:rPr>
      </w:pPr>
      <w:r w:rsidRPr="006B1080">
        <w:rPr>
          <w:rFonts w:ascii="Times New Roman" w:hint="eastAsia"/>
          <w:b/>
          <w:i/>
          <w:sz w:val="24"/>
        </w:rPr>
        <w:t>A</w:t>
      </w:r>
      <w:r w:rsidRPr="006B1080">
        <w:rPr>
          <w:rFonts w:ascii="Times New Roman"/>
          <w:b/>
          <w:i/>
          <w:sz w:val="24"/>
        </w:rPr>
        <w:t>ssessment of Concept Note Eligibility and Concept Note Scoring</w:t>
      </w:r>
    </w:p>
    <w:p w14:paraId="5EB69C4B" w14:textId="57F7833B" w:rsidR="008D592F" w:rsidRPr="006B1080" w:rsidRDefault="00546EF2">
      <w:pPr>
        <w:spacing w:line="384" w:lineRule="auto"/>
        <w:rPr>
          <w:rFonts w:ascii="Times New Roman" w:eastAsia="Calibri"/>
          <w:sz w:val="24"/>
        </w:rPr>
      </w:pPr>
      <w:r w:rsidRPr="006B1080">
        <w:rPr>
          <w:rFonts w:ascii="Times New Roman"/>
          <w:sz w:val="24"/>
        </w:rPr>
        <w:t xml:space="preserve">All CNs seeking access to the </w:t>
      </w:r>
      <w:r w:rsidR="00522DFB" w:rsidRPr="006B1080">
        <w:rPr>
          <w:rFonts w:ascii="Times New Roman"/>
          <w:sz w:val="24"/>
        </w:rPr>
        <w:t>S</w:t>
      </w:r>
      <w:r w:rsidRPr="006B1080">
        <w:rPr>
          <w:rFonts w:ascii="Times New Roman"/>
          <w:sz w:val="24"/>
        </w:rPr>
        <w:t>ub-</w:t>
      </w:r>
      <w:r w:rsidR="00522DFB" w:rsidRPr="006B1080">
        <w:rPr>
          <w:rFonts w:ascii="Times New Roman"/>
          <w:sz w:val="24"/>
        </w:rPr>
        <w:t>F</w:t>
      </w:r>
      <w:r w:rsidRPr="006B1080">
        <w:rPr>
          <w:rFonts w:ascii="Times New Roman"/>
          <w:sz w:val="24"/>
        </w:rPr>
        <w:t xml:space="preserve">und must </w:t>
      </w:r>
      <w:r w:rsidR="008C6ABC" w:rsidRPr="006B1080">
        <w:rPr>
          <w:rFonts w:ascii="Times New Roman"/>
          <w:sz w:val="24"/>
        </w:rPr>
        <w:t xml:space="preserve">follow the co-sponsorship requirements as outlined in the Guidebook and </w:t>
      </w:r>
      <w:r w:rsidRPr="006B1080">
        <w:rPr>
          <w:rFonts w:ascii="Times New Roman"/>
          <w:sz w:val="24"/>
        </w:rPr>
        <w:t>be endorsed by the proposing forum</w:t>
      </w:r>
      <w:r w:rsidR="00522DFB" w:rsidRPr="006B1080">
        <w:rPr>
          <w:rFonts w:ascii="Times New Roman"/>
          <w:sz w:val="24"/>
        </w:rPr>
        <w:t>.</w:t>
      </w:r>
      <w:r w:rsidRPr="006B1080">
        <w:rPr>
          <w:rFonts w:ascii="Times New Roman"/>
          <w:sz w:val="24"/>
        </w:rPr>
        <w:t xml:space="preserve"> </w:t>
      </w:r>
      <w:r w:rsidR="00E244AB" w:rsidRPr="00FC7FF5">
        <w:rPr>
          <w:rFonts w:ascii="Times New Roman"/>
          <w:sz w:val="24"/>
          <w:szCs w:val="24"/>
        </w:rPr>
        <w:t xml:space="preserve">Before </w:t>
      </w:r>
      <w:r w:rsidR="00E244AB">
        <w:rPr>
          <w:rFonts w:ascii="Times New Roman"/>
          <w:sz w:val="24"/>
          <w:szCs w:val="24"/>
        </w:rPr>
        <w:t>being</w:t>
      </w:r>
      <w:r w:rsidR="00E244AB" w:rsidRPr="00FC7FF5">
        <w:rPr>
          <w:rFonts w:ascii="Times New Roman"/>
          <w:sz w:val="24"/>
          <w:szCs w:val="24"/>
        </w:rPr>
        <w:t xml:space="preserve"> endorsed by the proposing forum, draft </w:t>
      </w:r>
      <w:r w:rsidR="00E244AB">
        <w:rPr>
          <w:rFonts w:ascii="Times New Roman"/>
          <w:sz w:val="24"/>
          <w:szCs w:val="24"/>
        </w:rPr>
        <w:t>CNs</w:t>
      </w:r>
      <w:r w:rsidR="00E244AB" w:rsidRPr="00FC7FF5">
        <w:rPr>
          <w:rFonts w:ascii="Times New Roman"/>
          <w:sz w:val="24"/>
          <w:szCs w:val="24"/>
        </w:rPr>
        <w:t xml:space="preserve"> should be submitted to the HRDWG through the HRDWG Program Director for comments/feedback. </w:t>
      </w:r>
      <w:r w:rsidR="00522DFB" w:rsidRPr="006B1080">
        <w:rPr>
          <w:rFonts w:ascii="Times New Roman"/>
          <w:sz w:val="24"/>
        </w:rPr>
        <w:t>T</w:t>
      </w:r>
      <w:r w:rsidRPr="006B1080">
        <w:rPr>
          <w:rFonts w:ascii="Times New Roman"/>
          <w:sz w:val="24"/>
        </w:rPr>
        <w:t xml:space="preserve">he </w:t>
      </w:r>
      <w:r w:rsidR="00D77BE6" w:rsidRPr="006B1080">
        <w:rPr>
          <w:rFonts w:ascii="Times New Roman"/>
          <w:sz w:val="24"/>
        </w:rPr>
        <w:t>SCE</w:t>
      </w:r>
      <w:r w:rsidR="0013246C" w:rsidRPr="006B1080">
        <w:rPr>
          <w:rFonts w:ascii="Times New Roman"/>
          <w:sz w:val="24"/>
        </w:rPr>
        <w:t xml:space="preserve"> </w:t>
      </w:r>
      <w:r w:rsidRPr="006B1080">
        <w:rPr>
          <w:rFonts w:ascii="Times New Roman"/>
          <w:sz w:val="24"/>
        </w:rPr>
        <w:t xml:space="preserve">will </w:t>
      </w:r>
      <w:r w:rsidR="00852211" w:rsidRPr="006B1080">
        <w:rPr>
          <w:rFonts w:ascii="Times New Roman"/>
          <w:sz w:val="24"/>
        </w:rPr>
        <w:t>assess</w:t>
      </w:r>
      <w:r w:rsidRPr="006B1080">
        <w:rPr>
          <w:rFonts w:ascii="Times New Roman"/>
          <w:sz w:val="24"/>
        </w:rPr>
        <w:t xml:space="preserve"> the CNs against the eligibility criteria </w:t>
      </w:r>
      <w:r w:rsidR="00852211" w:rsidRPr="006B1080">
        <w:rPr>
          <w:rFonts w:ascii="Times New Roman"/>
          <w:sz w:val="24"/>
        </w:rPr>
        <w:t xml:space="preserve">above. </w:t>
      </w:r>
      <w:r w:rsidRPr="006B1080">
        <w:rPr>
          <w:rFonts w:ascii="Times New Roman"/>
          <w:sz w:val="24"/>
        </w:rPr>
        <w:t xml:space="preserve">Eligibility does not guarantee funding. </w:t>
      </w:r>
    </w:p>
    <w:p w14:paraId="5EC1CBE0" w14:textId="706702E8" w:rsidR="00FD66DE" w:rsidRPr="006B1080" w:rsidRDefault="00546EF2">
      <w:pPr>
        <w:spacing w:line="384" w:lineRule="auto"/>
        <w:rPr>
          <w:rFonts w:ascii="Times New Roman"/>
          <w:sz w:val="24"/>
        </w:rPr>
      </w:pPr>
      <w:r w:rsidRPr="006B1080">
        <w:rPr>
          <w:rFonts w:ascii="Times New Roman"/>
          <w:sz w:val="24"/>
        </w:rPr>
        <w:t xml:space="preserve">CNs that are deemed eligible will </w:t>
      </w:r>
      <w:r w:rsidR="00FD66DE" w:rsidRPr="006B1080">
        <w:rPr>
          <w:rFonts w:ascii="Times New Roman"/>
          <w:sz w:val="24"/>
        </w:rPr>
        <w:t xml:space="preserve">then </w:t>
      </w:r>
      <w:r w:rsidRPr="006B1080">
        <w:rPr>
          <w:rFonts w:ascii="Times New Roman"/>
          <w:sz w:val="24"/>
        </w:rPr>
        <w:t xml:space="preserve">be scored by the </w:t>
      </w:r>
      <w:r w:rsidR="00D77BE6" w:rsidRPr="006B1080">
        <w:rPr>
          <w:rFonts w:ascii="Times New Roman"/>
          <w:sz w:val="24"/>
        </w:rPr>
        <w:t>SCE</w:t>
      </w:r>
      <w:r w:rsidRPr="006B1080">
        <w:rPr>
          <w:rFonts w:ascii="Times New Roman"/>
          <w:sz w:val="24"/>
        </w:rPr>
        <w:t xml:space="preserve"> using the APEC Scoring Template. Consistent with the Guidebook on APEC Projects, the Secretariat will calculate which CNs can be funded, based on order of scores (highest to lowest), and in consideration of the total amount that is available under the </w:t>
      </w:r>
      <w:r w:rsidR="00FD66DE" w:rsidRPr="006B1080">
        <w:rPr>
          <w:rFonts w:ascii="Times New Roman"/>
          <w:sz w:val="24"/>
        </w:rPr>
        <w:t>s</w:t>
      </w:r>
      <w:r w:rsidRPr="006B1080">
        <w:rPr>
          <w:rFonts w:ascii="Times New Roman"/>
          <w:sz w:val="24"/>
        </w:rPr>
        <w:t>ub-</w:t>
      </w:r>
      <w:r w:rsidR="009375C0" w:rsidRPr="006B1080">
        <w:rPr>
          <w:rFonts w:ascii="Times New Roman"/>
          <w:sz w:val="24"/>
        </w:rPr>
        <w:t>f</w:t>
      </w:r>
      <w:r w:rsidRPr="006B1080">
        <w:rPr>
          <w:rFonts w:ascii="Times New Roman"/>
          <w:sz w:val="24"/>
        </w:rPr>
        <w:t>und, for the APEC Project Session in question.</w:t>
      </w:r>
    </w:p>
    <w:p w14:paraId="1E96D48C" w14:textId="52122775" w:rsidR="008D592F" w:rsidRPr="006B1080" w:rsidRDefault="00546EF2">
      <w:pPr>
        <w:spacing w:line="384" w:lineRule="auto"/>
        <w:rPr>
          <w:rFonts w:ascii="Times New Roman"/>
          <w:sz w:val="24"/>
        </w:rPr>
      </w:pPr>
      <w:r w:rsidRPr="006B1080">
        <w:rPr>
          <w:rFonts w:ascii="Times New Roman"/>
          <w:sz w:val="24"/>
        </w:rPr>
        <w:t xml:space="preserve">In line with the rules that apply to all APEC project funds, if a CN is found to be ineligible, the CN may not proceed any further in the APEC Project Session in question, either under the </w:t>
      </w:r>
      <w:r w:rsidR="00657E27" w:rsidRPr="006B1080">
        <w:rPr>
          <w:rFonts w:ascii="Times New Roman"/>
          <w:sz w:val="24"/>
        </w:rPr>
        <w:t>s</w:t>
      </w:r>
      <w:r w:rsidRPr="006B1080">
        <w:rPr>
          <w:rFonts w:ascii="Times New Roman"/>
          <w:sz w:val="24"/>
        </w:rPr>
        <w:t>ub-</w:t>
      </w:r>
      <w:r w:rsidR="009375C0" w:rsidRPr="006B1080">
        <w:rPr>
          <w:rFonts w:ascii="Times New Roman"/>
          <w:sz w:val="24"/>
        </w:rPr>
        <w:t>f</w:t>
      </w:r>
      <w:r w:rsidRPr="006B1080">
        <w:rPr>
          <w:rFonts w:ascii="Times New Roman"/>
          <w:sz w:val="24"/>
        </w:rPr>
        <w:t xml:space="preserve">und, or any other APEC project fund (including the ASF General Fund).  </w:t>
      </w:r>
    </w:p>
    <w:p w14:paraId="593A3EFB" w14:textId="77777777" w:rsidR="00575E0B" w:rsidRDefault="00575E0B">
      <w:pPr>
        <w:spacing w:line="384" w:lineRule="auto"/>
        <w:rPr>
          <w:rFonts w:ascii="Times New Roman"/>
          <w:b/>
          <w:i/>
          <w:sz w:val="24"/>
        </w:rPr>
      </w:pPr>
    </w:p>
    <w:p w14:paraId="1D808328" w14:textId="5FAF0AB2" w:rsidR="00E86752" w:rsidRPr="006B1080" w:rsidRDefault="004B18A3">
      <w:pPr>
        <w:spacing w:line="384" w:lineRule="auto"/>
        <w:rPr>
          <w:rFonts w:ascii="Times New Roman"/>
          <w:b/>
          <w:i/>
          <w:sz w:val="24"/>
        </w:rPr>
      </w:pPr>
      <w:r w:rsidRPr="006B1080">
        <w:rPr>
          <w:rFonts w:ascii="Times New Roman" w:hint="eastAsia"/>
          <w:b/>
          <w:i/>
          <w:sz w:val="24"/>
        </w:rPr>
        <w:t>P</w:t>
      </w:r>
      <w:r w:rsidR="00880D93" w:rsidRPr="006B1080">
        <w:rPr>
          <w:rFonts w:ascii="Times New Roman"/>
          <w:b/>
          <w:i/>
          <w:sz w:val="24"/>
        </w:rPr>
        <w:t xml:space="preserve">riority for </w:t>
      </w:r>
      <w:r w:rsidR="00820D42" w:rsidRPr="006B1080">
        <w:rPr>
          <w:rFonts w:ascii="Times New Roman" w:hint="eastAsia"/>
          <w:b/>
          <w:i/>
          <w:sz w:val="24"/>
        </w:rPr>
        <w:t>F</w:t>
      </w:r>
      <w:r w:rsidR="00880D93" w:rsidRPr="006B1080">
        <w:rPr>
          <w:rFonts w:ascii="Times New Roman"/>
          <w:b/>
          <w:i/>
          <w:sz w:val="24"/>
        </w:rPr>
        <w:t>unding</w:t>
      </w:r>
    </w:p>
    <w:p w14:paraId="12D0F5AC" w14:textId="34C552D3" w:rsidR="008D592F" w:rsidRPr="006B1080" w:rsidRDefault="0013246C" w:rsidP="008C4C59">
      <w:pPr>
        <w:wordWrap/>
        <w:spacing w:line="384" w:lineRule="auto"/>
        <w:rPr>
          <w:rFonts w:ascii="Times New Roman" w:hAnsi="Times New Roman" w:cs="Times New Roman"/>
          <w:sz w:val="24"/>
          <w:szCs w:val="24"/>
        </w:rPr>
      </w:pPr>
      <w:r w:rsidRPr="006B1080">
        <w:rPr>
          <w:rFonts w:ascii="Times New Roman" w:hAnsi="Times New Roman" w:cs="Times New Roman" w:hint="eastAsia"/>
          <w:sz w:val="24"/>
          <w:szCs w:val="24"/>
        </w:rPr>
        <w:t>O</w:t>
      </w:r>
      <w:r w:rsidRPr="006B1080">
        <w:rPr>
          <w:rFonts w:ascii="Times New Roman" w:hAnsi="Times New Roman" w:cs="Times New Roman"/>
          <w:sz w:val="24"/>
          <w:szCs w:val="24"/>
        </w:rPr>
        <w:t xml:space="preserve">nly </w:t>
      </w:r>
      <w:r w:rsidR="00C85076" w:rsidRPr="006B1080">
        <w:rPr>
          <w:rFonts w:ascii="Times New Roman" w:hAnsi="Times New Roman" w:cs="Times New Roman"/>
          <w:sz w:val="24"/>
          <w:szCs w:val="24"/>
        </w:rPr>
        <w:t>two</w:t>
      </w:r>
      <w:r w:rsidRPr="006B1080">
        <w:rPr>
          <w:rFonts w:ascii="Times New Roman" w:hAnsi="Times New Roman" w:cs="Times New Roman"/>
          <w:sz w:val="24"/>
          <w:szCs w:val="24"/>
        </w:rPr>
        <w:t xml:space="preserve"> project proposal</w:t>
      </w:r>
      <w:r w:rsidR="00034E54" w:rsidRPr="006B1080">
        <w:rPr>
          <w:rFonts w:ascii="Times New Roman" w:hAnsi="Times New Roman" w:cs="Times New Roman"/>
          <w:sz w:val="24"/>
          <w:szCs w:val="24"/>
        </w:rPr>
        <w:t xml:space="preserve">s </w:t>
      </w:r>
      <w:r w:rsidRPr="006B1080">
        <w:rPr>
          <w:rFonts w:ascii="Times New Roman" w:hAnsi="Times New Roman" w:cs="Times New Roman"/>
          <w:sz w:val="24"/>
          <w:szCs w:val="24"/>
        </w:rPr>
        <w:t xml:space="preserve">will be funded per project session. </w:t>
      </w:r>
      <w:r w:rsidR="00C85076" w:rsidRPr="006B1080">
        <w:rPr>
          <w:rFonts w:ascii="Times New Roman" w:hAnsi="Times New Roman" w:cs="Times New Roman"/>
          <w:sz w:val="24"/>
          <w:szCs w:val="24"/>
        </w:rPr>
        <w:t xml:space="preserve">The proposals with the highest scores will be funded first. </w:t>
      </w:r>
      <w:r w:rsidR="00877578">
        <w:rPr>
          <w:rFonts w:ascii="Times New Roman" w:hAnsi="Times New Roman" w:cs="Times New Roman"/>
          <w:sz w:val="24"/>
          <w:szCs w:val="24"/>
        </w:rPr>
        <w:t>The</w:t>
      </w:r>
      <w:r w:rsidR="00877578" w:rsidRPr="006B1080">
        <w:rPr>
          <w:rFonts w:ascii="Times New Roman" w:hAnsi="Times New Roman" w:cs="Times New Roman"/>
          <w:sz w:val="24"/>
          <w:szCs w:val="24"/>
        </w:rPr>
        <w:t xml:space="preserve"> </w:t>
      </w:r>
      <w:r w:rsidR="00443F9F" w:rsidRPr="006B1080">
        <w:rPr>
          <w:rFonts w:ascii="Times New Roman" w:hAnsi="Times New Roman" w:cs="Times New Roman"/>
          <w:sz w:val="24"/>
          <w:szCs w:val="24"/>
        </w:rPr>
        <w:t xml:space="preserve">Sub-Fund on </w:t>
      </w:r>
      <w:r w:rsidR="00443F9F" w:rsidRPr="006B1080">
        <w:rPr>
          <w:rFonts w:ascii="Times New Roman" w:eastAsia="Times New Roman" w:hAnsi="Times New Roman" w:cs="Times New Roman"/>
          <w:bCs/>
          <w:sz w:val="24"/>
          <w:szCs w:val="24"/>
        </w:rPr>
        <w:t>Prosperi</w:t>
      </w:r>
      <w:r w:rsidR="00443F9F" w:rsidRPr="006B1080">
        <w:rPr>
          <w:rFonts w:ascii="Times New Roman" w:eastAsia="Malgun Gothic" w:hAnsi="Times New Roman" w:cs="Times New Roman"/>
          <w:bCs/>
          <w:sz w:val="24"/>
          <w:szCs w:val="24"/>
        </w:rPr>
        <w:t>ty of</w:t>
      </w:r>
      <w:r w:rsidR="00443F9F" w:rsidRPr="006B1080">
        <w:rPr>
          <w:rFonts w:ascii="Times New Roman" w:eastAsia="Times New Roman" w:hAnsi="Times New Roman" w:cs="Times New Roman"/>
          <w:bCs/>
          <w:sz w:val="24"/>
          <w:szCs w:val="24"/>
        </w:rPr>
        <w:t xml:space="preserve"> Future Generations</w:t>
      </w:r>
      <w:r w:rsidR="00575A3E" w:rsidRPr="006B1080">
        <w:rPr>
          <w:rFonts w:ascii="Times New Roman" w:eastAsia="Times New Roman" w:hAnsi="Times New Roman" w:cs="Times New Roman"/>
          <w:bCs/>
          <w:sz w:val="24"/>
          <w:szCs w:val="24"/>
        </w:rPr>
        <w:t xml:space="preserve"> funding is </w:t>
      </w:r>
      <w:r w:rsidR="00575A3E" w:rsidRPr="006B1080">
        <w:rPr>
          <w:rFonts w:ascii="Times New Roman" w:eastAsia="Times New Roman" w:hAnsi="Times New Roman" w:cs="Times New Roman"/>
          <w:bCs/>
          <w:sz w:val="24"/>
          <w:szCs w:val="24"/>
        </w:rPr>
        <w:lastRenderedPageBreak/>
        <w:t xml:space="preserve">capped at </w:t>
      </w:r>
      <w:r w:rsidR="00575A3E" w:rsidRPr="006B1080">
        <w:rPr>
          <w:rFonts w:ascii="Times New Roman" w:eastAsia="Malgun Gothic" w:hAnsi="Times New Roman" w:cs="Times New Roman"/>
          <w:bCs/>
          <w:sz w:val="24"/>
          <w:szCs w:val="24"/>
        </w:rPr>
        <w:t xml:space="preserve">USD </w:t>
      </w:r>
      <w:r w:rsidR="00C85076" w:rsidRPr="006B1080">
        <w:rPr>
          <w:rFonts w:ascii="Times New Roman" w:eastAsia="Malgun Gothic" w:hAnsi="Times New Roman" w:cs="Times New Roman"/>
          <w:bCs/>
          <w:sz w:val="24"/>
          <w:szCs w:val="24"/>
        </w:rPr>
        <w:t>30</w:t>
      </w:r>
      <w:r w:rsidR="00575A3E" w:rsidRPr="006B1080">
        <w:rPr>
          <w:rFonts w:ascii="Times New Roman" w:eastAsia="Malgun Gothic" w:hAnsi="Times New Roman" w:cs="Times New Roman"/>
          <w:bCs/>
          <w:sz w:val="24"/>
          <w:szCs w:val="24"/>
        </w:rPr>
        <w:t>0,000 per project session.</w:t>
      </w:r>
    </w:p>
    <w:p w14:paraId="7E78B75F" w14:textId="77777777" w:rsidR="00966852" w:rsidRPr="006B1080" w:rsidRDefault="00966852" w:rsidP="00557B8E">
      <w:pPr>
        <w:pStyle w:val="a"/>
        <w:spacing w:after="160"/>
        <w:rPr>
          <w:rFonts w:ascii="Times New Roman"/>
          <w:color w:val="auto"/>
          <w:sz w:val="24"/>
        </w:rPr>
      </w:pPr>
    </w:p>
    <w:p w14:paraId="756D769D" w14:textId="408C5D0F" w:rsidR="008D592F" w:rsidRDefault="00546EF2" w:rsidP="00557B8E">
      <w:pPr>
        <w:spacing w:line="384" w:lineRule="auto"/>
      </w:pPr>
      <w:r w:rsidRPr="006B1080">
        <w:rPr>
          <w:rFonts w:ascii="Times New Roman"/>
          <w:b/>
          <w:sz w:val="24"/>
          <w:u w:val="single"/>
        </w:rPr>
        <w:t xml:space="preserve">Administration of the </w:t>
      </w:r>
      <w:r w:rsidR="001262F5" w:rsidRPr="006B1080">
        <w:rPr>
          <w:rFonts w:ascii="Times New Roman" w:eastAsia="Times New Roman" w:hAnsi="Times New Roman" w:cs="Times New Roman"/>
          <w:b/>
          <w:bCs/>
          <w:sz w:val="24"/>
          <w:szCs w:val="24"/>
          <w:u w:val="single"/>
        </w:rPr>
        <w:t>Prosperi</w:t>
      </w:r>
      <w:r w:rsidR="001262F5" w:rsidRPr="006B1080">
        <w:rPr>
          <w:rFonts w:ascii="Times New Roman" w:eastAsia="Malgun Gothic" w:hAnsi="Times New Roman" w:cs="Times New Roman"/>
          <w:b/>
          <w:bCs/>
          <w:sz w:val="24"/>
          <w:szCs w:val="24"/>
          <w:u w:val="single"/>
        </w:rPr>
        <w:t>ty of</w:t>
      </w:r>
      <w:r w:rsidR="001262F5" w:rsidRPr="006B1080">
        <w:rPr>
          <w:rFonts w:ascii="Times New Roman" w:eastAsia="Times New Roman" w:hAnsi="Times New Roman" w:cs="Times New Roman"/>
          <w:b/>
          <w:bCs/>
          <w:sz w:val="24"/>
          <w:szCs w:val="24"/>
          <w:u w:val="single"/>
        </w:rPr>
        <w:t xml:space="preserve"> </w:t>
      </w:r>
      <w:r w:rsidR="001262F5" w:rsidRPr="001262F5">
        <w:rPr>
          <w:rFonts w:ascii="Times New Roman" w:eastAsia="Times New Roman" w:hAnsi="Times New Roman" w:cs="Times New Roman"/>
          <w:b/>
          <w:bCs/>
          <w:sz w:val="24"/>
          <w:szCs w:val="24"/>
          <w:u w:val="single"/>
        </w:rPr>
        <w:t>Future Generations</w:t>
      </w:r>
      <w:r>
        <w:rPr>
          <w:rFonts w:ascii="Times New Roman"/>
          <w:b/>
          <w:sz w:val="24"/>
          <w:u w:val="single"/>
        </w:rPr>
        <w:t xml:space="preserve"> Sub-Fund</w:t>
      </w:r>
    </w:p>
    <w:p w14:paraId="036C488B" w14:textId="30E55D72" w:rsidR="008D592F" w:rsidRPr="00D8166C" w:rsidRDefault="00546EF2" w:rsidP="00557B8E">
      <w:pPr>
        <w:pStyle w:val="a"/>
        <w:spacing w:after="160"/>
        <w:rPr>
          <w:rFonts w:ascii="Times New Roman" w:eastAsiaTheme="minorEastAsia" w:hAnsi="Times New Roman"/>
          <w:sz w:val="22"/>
          <w:szCs w:val="24"/>
        </w:rPr>
      </w:pPr>
      <w:r>
        <w:rPr>
          <w:rFonts w:ascii="Times New Roman"/>
          <w:sz w:val="24"/>
        </w:rPr>
        <w:t xml:space="preserve">The APEC Secretariat will be </w:t>
      </w:r>
      <w:r w:rsidRPr="00DB4000">
        <w:rPr>
          <w:rFonts w:ascii="Times New Roman"/>
          <w:color w:val="auto"/>
          <w:sz w:val="24"/>
        </w:rPr>
        <w:t xml:space="preserve">responsible for the administration of the </w:t>
      </w:r>
      <w:r w:rsidR="00575A3E" w:rsidRPr="00DB4000">
        <w:rPr>
          <w:rFonts w:ascii="Times New Roman" w:hAnsi="Times New Roman" w:cs="Times New Roman"/>
          <w:color w:val="auto"/>
          <w:sz w:val="24"/>
          <w:szCs w:val="24"/>
        </w:rPr>
        <w:t xml:space="preserve">ASF Sub-Fund on </w:t>
      </w:r>
      <w:r w:rsidR="00575A3E" w:rsidRPr="00DB4000">
        <w:rPr>
          <w:rFonts w:ascii="Times New Roman" w:eastAsia="Times New Roman" w:hAnsi="Times New Roman" w:cs="Times New Roman"/>
          <w:bCs/>
          <w:color w:val="auto"/>
          <w:sz w:val="24"/>
          <w:szCs w:val="24"/>
        </w:rPr>
        <w:t>Prosperi</w:t>
      </w:r>
      <w:r w:rsidR="00575A3E" w:rsidRPr="00DB4000">
        <w:rPr>
          <w:rFonts w:ascii="Times New Roman" w:eastAsia="Malgun Gothic" w:hAnsi="Times New Roman" w:cs="Times New Roman"/>
          <w:bCs/>
          <w:color w:val="auto"/>
          <w:sz w:val="24"/>
          <w:szCs w:val="24"/>
        </w:rPr>
        <w:t>ty of</w:t>
      </w:r>
      <w:r w:rsidR="00575A3E" w:rsidRPr="00DB4000">
        <w:rPr>
          <w:rFonts w:ascii="Times New Roman" w:eastAsia="Times New Roman" w:hAnsi="Times New Roman" w:cs="Times New Roman"/>
          <w:bCs/>
          <w:color w:val="auto"/>
          <w:sz w:val="24"/>
          <w:szCs w:val="24"/>
        </w:rPr>
        <w:t xml:space="preserve"> Future Generations</w:t>
      </w:r>
      <w:r w:rsidRPr="00DB4000">
        <w:rPr>
          <w:rFonts w:ascii="Times New Roman"/>
          <w:color w:val="auto"/>
          <w:sz w:val="24"/>
        </w:rPr>
        <w:t xml:space="preserve">. </w:t>
      </w:r>
      <w:r w:rsidR="00006D7D" w:rsidRPr="00006D7D">
        <w:rPr>
          <w:rFonts w:ascii="Times New Roman"/>
          <w:color w:val="auto"/>
          <w:sz w:val="24"/>
        </w:rPr>
        <w:t xml:space="preserve">According to Principles and Procedures for Creating a New ASF Sub-Fund, </w:t>
      </w:r>
      <w:r w:rsidR="00CD6242">
        <w:rPr>
          <w:rFonts w:ascii="Times New Roman"/>
          <w:color w:val="auto"/>
          <w:sz w:val="24"/>
        </w:rPr>
        <w:t>a</w:t>
      </w:r>
      <w:r w:rsidR="00006D7D" w:rsidRPr="00006D7D">
        <w:rPr>
          <w:rFonts w:ascii="Times New Roman"/>
          <w:color w:val="auto"/>
          <w:sz w:val="24"/>
        </w:rPr>
        <w:t xml:space="preserve"> management fee will be deducted from the Sub-fund.</w:t>
      </w:r>
      <w:r w:rsidR="00006D7D">
        <w:rPr>
          <w:rFonts w:ascii="Times New Roman"/>
          <w:color w:val="auto"/>
          <w:sz w:val="24"/>
        </w:rPr>
        <w:t xml:space="preserve"> </w:t>
      </w:r>
      <w:r w:rsidR="00C47D2E">
        <w:rPr>
          <w:rFonts w:ascii="Times New Roman"/>
          <w:color w:val="auto"/>
          <w:sz w:val="24"/>
        </w:rPr>
        <w:t>The Sub-Fund</w:t>
      </w:r>
      <w:r w:rsidR="00C47D2E" w:rsidRPr="00DB4000">
        <w:rPr>
          <w:rFonts w:ascii="Times New Roman"/>
          <w:color w:val="auto"/>
          <w:sz w:val="24"/>
        </w:rPr>
        <w:t xml:space="preserve"> </w:t>
      </w:r>
      <w:r w:rsidRPr="00DB4000">
        <w:rPr>
          <w:rFonts w:ascii="Times New Roman"/>
          <w:color w:val="auto"/>
          <w:sz w:val="24"/>
        </w:rPr>
        <w:t xml:space="preserve">will be subject to the procedures and timelines governing the APEC Support Fund, as set out in </w:t>
      </w:r>
      <w:r>
        <w:rPr>
          <w:rFonts w:ascii="Times New Roman"/>
          <w:sz w:val="24"/>
        </w:rPr>
        <w:t xml:space="preserve">the Guidebook on APEC Projects and the APEC website. Refer to </w:t>
      </w:r>
      <w:hyperlink r:id="rId8" w:history="1">
        <w:r w:rsidRPr="00EF5AEB">
          <w:rPr>
            <w:rFonts w:ascii="Times New Roman"/>
            <w:color w:val="auto"/>
            <w:sz w:val="24"/>
          </w:rPr>
          <w:t>http://www.apec.org/Projects/Applying-for-Funds.aspx</w:t>
        </w:r>
      </w:hyperlink>
      <w:r w:rsidRPr="00EF5AEB">
        <w:rPr>
          <w:rFonts w:ascii="Times New Roman"/>
          <w:color w:val="0000FF"/>
          <w:sz w:val="24"/>
        </w:rPr>
        <w:t>.</w:t>
      </w:r>
    </w:p>
    <w:sectPr w:rsidR="008D592F" w:rsidRPr="00D8166C">
      <w:headerReference w:type="default" r:id="rId9"/>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E892" w14:textId="77777777" w:rsidR="00AB2DC8" w:rsidRDefault="00AB2DC8">
      <w:pPr>
        <w:spacing w:after="0" w:line="240" w:lineRule="auto"/>
      </w:pPr>
      <w:r>
        <w:separator/>
      </w:r>
    </w:p>
  </w:endnote>
  <w:endnote w:type="continuationSeparator" w:id="0">
    <w:p w14:paraId="164E67CB" w14:textId="77777777" w:rsidR="00AB2DC8" w:rsidRDefault="00AB2DC8">
      <w:pPr>
        <w:spacing w:after="0" w:line="240" w:lineRule="auto"/>
      </w:pPr>
      <w:r>
        <w:continuationSeparator/>
      </w:r>
    </w:p>
  </w:endnote>
  <w:endnote w:type="continuationNotice" w:id="1">
    <w:p w14:paraId="21A27F79" w14:textId="77777777" w:rsidR="00AB2DC8" w:rsidRDefault="00AB2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함초롬바탕">
    <w:altName w:val="Batang"/>
    <w:charset w:val="81"/>
    <w:family w:val="roma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CAEE" w14:textId="77777777" w:rsidR="00AB2DC8" w:rsidRDefault="00AB2DC8">
      <w:pPr>
        <w:spacing w:after="0" w:line="240" w:lineRule="auto"/>
      </w:pPr>
      <w:r>
        <w:separator/>
      </w:r>
    </w:p>
  </w:footnote>
  <w:footnote w:type="continuationSeparator" w:id="0">
    <w:p w14:paraId="25903220" w14:textId="77777777" w:rsidR="00AB2DC8" w:rsidRDefault="00AB2DC8">
      <w:pPr>
        <w:spacing w:after="0" w:line="240" w:lineRule="auto"/>
      </w:pPr>
      <w:r>
        <w:continuationSeparator/>
      </w:r>
    </w:p>
  </w:footnote>
  <w:footnote w:type="continuationNotice" w:id="1">
    <w:p w14:paraId="4DEAD3A3" w14:textId="77777777" w:rsidR="00AB2DC8" w:rsidRDefault="00AB2DC8">
      <w:pPr>
        <w:spacing w:after="0" w:line="240" w:lineRule="auto"/>
      </w:pPr>
    </w:p>
  </w:footnote>
  <w:footnote w:id="2">
    <w:p w14:paraId="5175DD7E" w14:textId="77777777" w:rsidR="001102A5" w:rsidRPr="00F93C80" w:rsidRDefault="001102A5" w:rsidP="001102A5">
      <w:pPr>
        <w:pStyle w:val="FootnoteText"/>
        <w:jc w:val="both"/>
        <w:rPr>
          <w:rFonts w:eastAsiaTheme="minorEastAsia"/>
          <w:color w:val="auto"/>
        </w:rPr>
      </w:pPr>
      <w:r w:rsidRPr="00F93C80">
        <w:rPr>
          <w:rStyle w:val="FootnoteReference"/>
          <w:color w:val="auto"/>
        </w:rPr>
        <w:footnoteRef/>
      </w:r>
      <w:r w:rsidRPr="00F93C80">
        <w:rPr>
          <w:color w:val="auto"/>
        </w:rPr>
        <w:t xml:space="preserve"> </w:t>
      </w:r>
      <w:r w:rsidRPr="00F93C80">
        <w:rPr>
          <w:rFonts w:eastAsiaTheme="minorEastAsia" w:hint="eastAsia"/>
          <w:color w:val="auto"/>
        </w:rPr>
        <w:t>I</w:t>
      </w:r>
      <w:r w:rsidRPr="00F93C80">
        <w:rPr>
          <w:rFonts w:eastAsiaTheme="minorEastAsia"/>
          <w:color w:val="auto"/>
        </w:rPr>
        <w:t xml:space="preserve">n this context, </w:t>
      </w:r>
      <w:r w:rsidRPr="00F93C80">
        <w:rPr>
          <w:rFonts w:eastAsiaTheme="minorEastAsia"/>
          <w:color w:val="auto"/>
        </w:rPr>
        <w:t>‘</w:t>
      </w:r>
      <w:r>
        <w:rPr>
          <w:rFonts w:eastAsiaTheme="minorEastAsia"/>
          <w:color w:val="auto"/>
        </w:rPr>
        <w:t>young professionals</w:t>
      </w:r>
      <w:r>
        <w:rPr>
          <w:rFonts w:eastAsiaTheme="minorEastAsia"/>
          <w:color w:val="auto"/>
        </w:rPr>
        <w:t>’</w:t>
      </w:r>
      <w:r w:rsidRPr="00F93C80">
        <w:rPr>
          <w:rFonts w:eastAsiaTheme="minorEastAsia"/>
          <w:color w:val="auto"/>
        </w:rPr>
        <w:t xml:space="preserve"> will be defined as a person between the ages of 18 and 34 at the start of each project receiving funding from this sub-fund.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39EE" w14:textId="2BAB4F2C" w:rsidR="008D592F" w:rsidRDefault="00C149AE">
    <w:pPr>
      <w:pStyle w:val="a"/>
      <w:jc w:val="right"/>
    </w:pPr>
    <w:r>
      <w:rPr>
        <w:rFonts w:ascii="Times New Roman" w:eastAsia="Times New Roman" w:hAnsi="Times New Roman"/>
      </w:rPr>
      <w:t xml:space="preserve">Version </w:t>
    </w:r>
    <w:r w:rsidR="004A0060">
      <w:rPr>
        <w:rFonts w:ascii="Times New Roman" w:eastAsia="Times New Roman" w:hAnsi="Times New Roman"/>
      </w:rPr>
      <w:t>4</w:t>
    </w:r>
    <w:r w:rsidR="00546EF2">
      <w:rPr>
        <w:rFonts w:ascii="Times New Roman" w:eastAsia="Times New Roman" w:hAnsi="Times New Roman"/>
      </w:rPr>
      <w:t xml:space="preserve"> as of </w:t>
    </w:r>
    <w:r w:rsidR="002E4487">
      <w:rPr>
        <w:rFonts w:ascii="Times New Roman" w:eastAsia="Times New Roman" w:hAnsi="Times New Roman"/>
      </w:rPr>
      <w:t>1</w:t>
    </w:r>
    <w:r w:rsidR="00EC7A7D">
      <w:rPr>
        <w:rFonts w:ascii="Times New Roman" w:eastAsia="Times New Roman" w:hAnsi="Times New Roman"/>
      </w:rPr>
      <w:t>1</w:t>
    </w:r>
    <w:r w:rsidR="002E4487">
      <w:rPr>
        <w:rFonts w:ascii="Times New Roman" w:eastAsia="Times New Roman" w:hAnsi="Times New Roman"/>
      </w:rPr>
      <w:t xml:space="preserve"> </w:t>
    </w:r>
    <w:r w:rsidR="00E528B5">
      <w:rPr>
        <w:rFonts w:ascii="Times New Roman" w:eastAsia="Times New Roman" w:hAnsi="Times New Roman"/>
      </w:rPr>
      <w:t xml:space="preserve">May </w:t>
    </w:r>
    <w:r w:rsidR="00546EF2" w:rsidRPr="004934EC">
      <w:rPr>
        <w:rFonts w:ascii="Times New Roman" w:eastAsia="Times New Roman" w:hAnsi="Times New Roman"/>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7320"/>
    <w:multiLevelType w:val="hybridMultilevel"/>
    <w:tmpl w:val="A2D8A4E8"/>
    <w:lvl w:ilvl="0" w:tplc="6F36D066">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1" w15:restartNumberingAfterBreak="0">
    <w:nsid w:val="0C716F76"/>
    <w:multiLevelType w:val="hybridMultilevel"/>
    <w:tmpl w:val="86B42C0A"/>
    <w:lvl w:ilvl="0" w:tplc="D84A0840">
      <w:start w:val="1"/>
      <w:numFmt w:val="decimal"/>
      <w:lvlText w:val="%1)"/>
      <w:lvlJc w:val="left"/>
      <w:pPr>
        <w:ind w:left="800" w:hanging="400"/>
      </w:pPr>
      <w:rPr>
        <w:lang w:val="en-SG"/>
      </w:rPr>
    </w:lvl>
    <w:lvl w:ilvl="1" w:tplc="3752AB86">
      <w:start w:val="1"/>
      <w:numFmt w:val="bullet"/>
      <w:lvlText w:val=""/>
      <w:lvlJc w:val="left"/>
      <w:pPr>
        <w:ind w:left="1200" w:hanging="400"/>
      </w:pPr>
      <w:rPr>
        <w:rFonts w:ascii="Wingdings" w:hAnsi="Wingdings" w:hint="default"/>
        <w:lang w:val="en-SG"/>
      </w:r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2" w15:restartNumberingAfterBreak="0">
    <w:nsid w:val="0EAA53C4"/>
    <w:multiLevelType w:val="hybridMultilevel"/>
    <w:tmpl w:val="7BC49214"/>
    <w:lvl w:ilvl="0" w:tplc="3752AB8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0B22164"/>
    <w:multiLevelType w:val="hybridMultilevel"/>
    <w:tmpl w:val="50D4482E"/>
    <w:lvl w:ilvl="0" w:tplc="3752AB86">
      <w:start w:val="1"/>
      <w:numFmt w:val="bullet"/>
      <w:lvlText w:val=""/>
      <w:lvlJc w:val="left"/>
      <w:pPr>
        <w:ind w:left="1200" w:hanging="400"/>
      </w:pPr>
      <w:rPr>
        <w:rFonts w:ascii="Wingdings" w:hAnsi="Wingdings" w:hint="default"/>
        <w:lang w:val="en-SG"/>
      </w:rPr>
    </w:lvl>
    <w:lvl w:ilvl="1" w:tplc="4392858C">
      <w:start w:val="1"/>
      <w:numFmt w:val="lowerLetter"/>
      <w:lvlText w:val="%2."/>
      <w:lvlJc w:val="left"/>
      <w:pPr>
        <w:ind w:left="1600" w:hanging="400"/>
      </w:pPr>
    </w:lvl>
    <w:lvl w:ilvl="2" w:tplc="0409001B">
      <w:start w:val="1"/>
      <w:numFmt w:val="lowerRoman"/>
      <w:lvlText w:val="%3."/>
      <w:lvlJc w:val="left"/>
      <w:pPr>
        <w:ind w:left="2000" w:hanging="400"/>
      </w:pPr>
    </w:lvl>
    <w:lvl w:ilvl="3" w:tplc="0409000F">
      <w:start w:val="1"/>
      <w:numFmt w:val="decimal"/>
      <w:lvlText w:val="%4."/>
      <w:lvlJc w:val="left"/>
      <w:pPr>
        <w:ind w:left="2400" w:hanging="400"/>
      </w:pPr>
    </w:lvl>
    <w:lvl w:ilvl="4" w:tplc="4392858C">
      <w:start w:val="1"/>
      <w:numFmt w:val="lowerLetter"/>
      <w:lvlText w:val="%5."/>
      <w:lvlJc w:val="left"/>
      <w:pPr>
        <w:ind w:left="2800" w:hanging="400"/>
      </w:pPr>
    </w:lvl>
    <w:lvl w:ilvl="5" w:tplc="0409001B">
      <w:start w:val="1"/>
      <w:numFmt w:val="lowerRoman"/>
      <w:lvlText w:val="%6."/>
      <w:lvlJc w:val="left"/>
      <w:pPr>
        <w:ind w:left="3200" w:hanging="400"/>
      </w:pPr>
    </w:lvl>
    <w:lvl w:ilvl="6" w:tplc="0409000F">
      <w:start w:val="1"/>
      <w:numFmt w:val="decimal"/>
      <w:lvlText w:val="%7."/>
      <w:lvlJc w:val="left"/>
      <w:pPr>
        <w:ind w:left="3600" w:hanging="400"/>
      </w:pPr>
    </w:lvl>
    <w:lvl w:ilvl="7" w:tplc="4392858C">
      <w:start w:val="1"/>
      <w:numFmt w:val="lowerLetter"/>
      <w:lvlText w:val="%8."/>
      <w:lvlJc w:val="left"/>
      <w:pPr>
        <w:ind w:left="4000" w:hanging="400"/>
      </w:pPr>
    </w:lvl>
    <w:lvl w:ilvl="8" w:tplc="0409001B">
      <w:start w:val="1"/>
      <w:numFmt w:val="lowerRoman"/>
      <w:lvlText w:val="%9."/>
      <w:lvlJc w:val="left"/>
      <w:pPr>
        <w:ind w:left="4400" w:hanging="400"/>
      </w:pPr>
    </w:lvl>
  </w:abstractNum>
  <w:abstractNum w:abstractNumId="4" w15:restartNumberingAfterBreak="0">
    <w:nsid w:val="21A31135"/>
    <w:multiLevelType w:val="hybridMultilevel"/>
    <w:tmpl w:val="6842079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34133AD"/>
    <w:multiLevelType w:val="hybridMultilevel"/>
    <w:tmpl w:val="81C4DEB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4FC15F8"/>
    <w:multiLevelType w:val="hybridMultilevel"/>
    <w:tmpl w:val="EC227E34"/>
    <w:lvl w:ilvl="0" w:tplc="3752AB8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B5F1D9D"/>
    <w:multiLevelType w:val="hybridMultilevel"/>
    <w:tmpl w:val="763C4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C367E7"/>
    <w:multiLevelType w:val="hybridMultilevel"/>
    <w:tmpl w:val="9E1AD2F8"/>
    <w:lvl w:ilvl="0" w:tplc="04090001">
      <w:start w:val="1"/>
      <w:numFmt w:val="bullet"/>
      <w:lvlText w:val=""/>
      <w:lvlJc w:val="left"/>
      <w:pPr>
        <w:ind w:left="420" w:hanging="420"/>
      </w:pPr>
      <w:rPr>
        <w:rFonts w:ascii="Symbol" w:hAnsi="Symbol" w:hint="default"/>
      </w:rPr>
    </w:lvl>
    <w:lvl w:ilvl="1" w:tplc="0409000F">
      <w:start w:val="1"/>
      <w:numFmt w:val="decimal"/>
      <w:lvlText w:val="%2."/>
      <w:lvlJc w:val="left"/>
      <w:pPr>
        <w:ind w:left="840" w:hanging="420"/>
      </w:pPr>
      <w:rPr>
        <w:rFonts w:hint="default"/>
      </w:rPr>
    </w:lvl>
    <w:lvl w:ilvl="2" w:tplc="1C565C1E">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9B2632"/>
    <w:multiLevelType w:val="hybridMultilevel"/>
    <w:tmpl w:val="088EA7DC"/>
    <w:lvl w:ilvl="0" w:tplc="04090001">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2A3B0C"/>
    <w:multiLevelType w:val="hybridMultilevel"/>
    <w:tmpl w:val="A2D8A4E8"/>
    <w:lvl w:ilvl="0" w:tplc="6F36D066">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11" w15:restartNumberingAfterBreak="0">
    <w:nsid w:val="447C0CD4"/>
    <w:multiLevelType w:val="hybridMultilevel"/>
    <w:tmpl w:val="A2D8A4E8"/>
    <w:lvl w:ilvl="0" w:tplc="6F36D066">
      <w:start w:val="1"/>
      <w:numFmt w:val="decimal"/>
      <w:lvlText w:val="%1)"/>
      <w:lvlJc w:val="left"/>
      <w:pPr>
        <w:ind w:left="800" w:hanging="400"/>
      </w:p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abstractNum w:abstractNumId="12" w15:restartNumberingAfterBreak="0">
    <w:nsid w:val="484951DD"/>
    <w:multiLevelType w:val="hybridMultilevel"/>
    <w:tmpl w:val="6FD81E64"/>
    <w:lvl w:ilvl="0" w:tplc="3752AB86">
      <w:start w:val="1"/>
      <w:numFmt w:val="bullet"/>
      <w:lvlText w:val=""/>
      <w:lvlJc w:val="left"/>
      <w:pPr>
        <w:ind w:left="1200" w:hanging="400"/>
      </w:pPr>
      <w:rPr>
        <w:rFonts w:ascii="Wingdings" w:hAnsi="Wingdings" w:hint="default"/>
        <w:lang w:val="en-SG"/>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4AA7391C"/>
    <w:multiLevelType w:val="hybridMultilevel"/>
    <w:tmpl w:val="5BB6BAD6"/>
    <w:lvl w:ilvl="0" w:tplc="04090001">
      <w:start w:val="1"/>
      <w:numFmt w:val="bullet"/>
      <w:lvlText w:val=""/>
      <w:lvlJc w:val="left"/>
      <w:pPr>
        <w:ind w:left="800" w:hanging="400"/>
      </w:pPr>
      <w:rPr>
        <w:rFonts w:ascii="Wingdings" w:hAnsi="Wingdings" w:hint="default"/>
      </w:rPr>
    </w:lvl>
    <w:lvl w:ilvl="1" w:tplc="D0A6317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C037C76"/>
    <w:multiLevelType w:val="hybridMultilevel"/>
    <w:tmpl w:val="41BA103C"/>
    <w:lvl w:ilvl="0" w:tplc="04090001">
      <w:start w:val="1"/>
      <w:numFmt w:val="bullet"/>
      <w:lvlText w:val=""/>
      <w:lvlJc w:val="left"/>
      <w:pPr>
        <w:ind w:left="800" w:hanging="400"/>
      </w:pPr>
      <w:rPr>
        <w:rFonts w:ascii="Wingdings" w:hAnsi="Wingdings" w:hint="default"/>
      </w:rPr>
    </w:lvl>
    <w:lvl w:ilvl="1" w:tplc="3752AB86">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6E767787"/>
    <w:multiLevelType w:val="hybridMultilevel"/>
    <w:tmpl w:val="7056F648"/>
    <w:lvl w:ilvl="0" w:tplc="3752AB8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7FFFFF40"/>
    <w:multiLevelType w:val="hybridMultilevel"/>
    <w:tmpl w:val="DA9C3132"/>
    <w:lvl w:ilvl="0" w:tplc="D84A0840">
      <w:start w:val="1"/>
      <w:numFmt w:val="decimal"/>
      <w:lvlText w:val="%1)"/>
      <w:lvlJc w:val="left"/>
      <w:pPr>
        <w:ind w:left="800" w:hanging="400"/>
      </w:pPr>
      <w:rPr>
        <w:lang w:val="en-SG"/>
      </w:rPr>
    </w:lvl>
    <w:lvl w:ilvl="1" w:tplc="4392858C">
      <w:start w:val="1"/>
      <w:numFmt w:val="lowerLetter"/>
      <w:lvlText w:val="%2."/>
      <w:lvlJc w:val="left"/>
      <w:pPr>
        <w:ind w:left="1200" w:hanging="400"/>
      </w:pPr>
    </w:lvl>
    <w:lvl w:ilvl="2" w:tplc="0409001B">
      <w:start w:val="1"/>
      <w:numFmt w:val="lowerRoman"/>
      <w:lvlText w:val="%3."/>
      <w:lvlJc w:val="left"/>
      <w:pPr>
        <w:ind w:left="1600" w:hanging="400"/>
      </w:pPr>
    </w:lvl>
    <w:lvl w:ilvl="3" w:tplc="0409000F">
      <w:start w:val="1"/>
      <w:numFmt w:val="decimal"/>
      <w:lvlText w:val="%4."/>
      <w:lvlJc w:val="left"/>
      <w:pPr>
        <w:ind w:left="2000" w:hanging="400"/>
      </w:pPr>
    </w:lvl>
    <w:lvl w:ilvl="4" w:tplc="4392858C">
      <w:start w:val="1"/>
      <w:numFmt w:val="lowerLetter"/>
      <w:lvlText w:val="%5."/>
      <w:lvlJc w:val="left"/>
      <w:pPr>
        <w:ind w:left="2400" w:hanging="400"/>
      </w:pPr>
    </w:lvl>
    <w:lvl w:ilvl="5" w:tplc="0409001B">
      <w:start w:val="1"/>
      <w:numFmt w:val="lowerRoman"/>
      <w:lvlText w:val="%6."/>
      <w:lvlJc w:val="left"/>
      <w:pPr>
        <w:ind w:left="2800" w:hanging="400"/>
      </w:pPr>
    </w:lvl>
    <w:lvl w:ilvl="6" w:tplc="0409000F">
      <w:start w:val="1"/>
      <w:numFmt w:val="decimal"/>
      <w:lvlText w:val="%7."/>
      <w:lvlJc w:val="left"/>
      <w:pPr>
        <w:ind w:left="3200" w:hanging="400"/>
      </w:pPr>
    </w:lvl>
    <w:lvl w:ilvl="7" w:tplc="4392858C">
      <w:start w:val="1"/>
      <w:numFmt w:val="lowerLetter"/>
      <w:lvlText w:val="%8."/>
      <w:lvlJc w:val="left"/>
      <w:pPr>
        <w:ind w:left="3600" w:hanging="400"/>
      </w:pPr>
    </w:lvl>
    <w:lvl w:ilvl="8" w:tplc="0409001B">
      <w:start w:val="1"/>
      <w:numFmt w:val="lowerRoman"/>
      <w:lvlText w:val="%9."/>
      <w:lvlJc w:val="left"/>
      <w:pPr>
        <w:ind w:left="4000" w:hanging="400"/>
      </w:pPr>
    </w:lvl>
  </w:abstractNum>
  <w:num w:numId="1" w16cid:durableId="482622039">
    <w:abstractNumId w:val="0"/>
  </w:num>
  <w:num w:numId="2" w16cid:durableId="239559684">
    <w:abstractNumId w:val="16"/>
  </w:num>
  <w:num w:numId="3" w16cid:durableId="1732732132">
    <w:abstractNumId w:val="10"/>
  </w:num>
  <w:num w:numId="4" w16cid:durableId="894706188">
    <w:abstractNumId w:val="5"/>
  </w:num>
  <w:num w:numId="5" w16cid:durableId="1921677211">
    <w:abstractNumId w:val="4"/>
  </w:num>
  <w:num w:numId="6" w16cid:durableId="264846467">
    <w:abstractNumId w:val="9"/>
  </w:num>
  <w:num w:numId="7" w16cid:durableId="463929702">
    <w:abstractNumId w:val="13"/>
  </w:num>
  <w:num w:numId="8" w16cid:durableId="360471513">
    <w:abstractNumId w:val="14"/>
  </w:num>
  <w:num w:numId="9" w16cid:durableId="2067021340">
    <w:abstractNumId w:val="11"/>
  </w:num>
  <w:num w:numId="10" w16cid:durableId="2056587247">
    <w:abstractNumId w:val="8"/>
  </w:num>
  <w:num w:numId="11" w16cid:durableId="1409500739">
    <w:abstractNumId w:val="7"/>
  </w:num>
  <w:num w:numId="12" w16cid:durableId="1925063267">
    <w:abstractNumId w:val="6"/>
  </w:num>
  <w:num w:numId="13" w16cid:durableId="1264613057">
    <w:abstractNumId w:val="2"/>
  </w:num>
  <w:num w:numId="14" w16cid:durableId="826482234">
    <w:abstractNumId w:val="15"/>
  </w:num>
  <w:num w:numId="15" w16cid:durableId="1106924736">
    <w:abstractNumId w:val="3"/>
  </w:num>
  <w:num w:numId="16" w16cid:durableId="1321075631">
    <w:abstractNumId w:val="12"/>
  </w:num>
  <w:num w:numId="17" w16cid:durableId="146434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2F"/>
    <w:rsid w:val="0000146A"/>
    <w:rsid w:val="00005A3D"/>
    <w:rsid w:val="00006D7D"/>
    <w:rsid w:val="00013792"/>
    <w:rsid w:val="0001518F"/>
    <w:rsid w:val="00027093"/>
    <w:rsid w:val="0003131D"/>
    <w:rsid w:val="00034E54"/>
    <w:rsid w:val="00040D3A"/>
    <w:rsid w:val="00041920"/>
    <w:rsid w:val="00063D2D"/>
    <w:rsid w:val="0006628B"/>
    <w:rsid w:val="00076714"/>
    <w:rsid w:val="00077181"/>
    <w:rsid w:val="00086454"/>
    <w:rsid w:val="000A27EE"/>
    <w:rsid w:val="000A36B0"/>
    <w:rsid w:val="000A7638"/>
    <w:rsid w:val="000B4A3A"/>
    <w:rsid w:val="000C7765"/>
    <w:rsid w:val="000C7D53"/>
    <w:rsid w:val="000D5596"/>
    <w:rsid w:val="000E3413"/>
    <w:rsid w:val="000F04A3"/>
    <w:rsid w:val="000F5C6B"/>
    <w:rsid w:val="00100D51"/>
    <w:rsid w:val="00101CE5"/>
    <w:rsid w:val="001102A5"/>
    <w:rsid w:val="0011229B"/>
    <w:rsid w:val="00113665"/>
    <w:rsid w:val="00116B8B"/>
    <w:rsid w:val="001224C0"/>
    <w:rsid w:val="00123435"/>
    <w:rsid w:val="001262F5"/>
    <w:rsid w:val="0012683C"/>
    <w:rsid w:val="0013246C"/>
    <w:rsid w:val="0013413D"/>
    <w:rsid w:val="001419EF"/>
    <w:rsid w:val="00154821"/>
    <w:rsid w:val="00163DB0"/>
    <w:rsid w:val="0016442B"/>
    <w:rsid w:val="00165331"/>
    <w:rsid w:val="00174402"/>
    <w:rsid w:val="001815B3"/>
    <w:rsid w:val="0019009E"/>
    <w:rsid w:val="001924DA"/>
    <w:rsid w:val="0019569B"/>
    <w:rsid w:val="001B23DB"/>
    <w:rsid w:val="001C1270"/>
    <w:rsid w:val="001C6FC5"/>
    <w:rsid w:val="001D0366"/>
    <w:rsid w:val="001D4276"/>
    <w:rsid w:val="001E6BC9"/>
    <w:rsid w:val="001E7B84"/>
    <w:rsid w:val="001F262B"/>
    <w:rsid w:val="001F4218"/>
    <w:rsid w:val="001F76A2"/>
    <w:rsid w:val="0020082C"/>
    <w:rsid w:val="00203736"/>
    <w:rsid w:val="00204BAC"/>
    <w:rsid w:val="0021056E"/>
    <w:rsid w:val="002176DB"/>
    <w:rsid w:val="00226E7B"/>
    <w:rsid w:val="00236336"/>
    <w:rsid w:val="00242FDB"/>
    <w:rsid w:val="002479BC"/>
    <w:rsid w:val="002569F5"/>
    <w:rsid w:val="00256BA2"/>
    <w:rsid w:val="002578C9"/>
    <w:rsid w:val="002867B9"/>
    <w:rsid w:val="00292D89"/>
    <w:rsid w:val="002A679C"/>
    <w:rsid w:val="002C3617"/>
    <w:rsid w:val="002C5136"/>
    <w:rsid w:val="002D082F"/>
    <w:rsid w:val="002D0EC0"/>
    <w:rsid w:val="002D4FA2"/>
    <w:rsid w:val="002E3421"/>
    <w:rsid w:val="002E4487"/>
    <w:rsid w:val="002E48F0"/>
    <w:rsid w:val="002F76AB"/>
    <w:rsid w:val="00300E79"/>
    <w:rsid w:val="00301074"/>
    <w:rsid w:val="00326455"/>
    <w:rsid w:val="00337D5B"/>
    <w:rsid w:val="00341A28"/>
    <w:rsid w:val="003665B0"/>
    <w:rsid w:val="003700C4"/>
    <w:rsid w:val="00373764"/>
    <w:rsid w:val="00377966"/>
    <w:rsid w:val="00380420"/>
    <w:rsid w:val="00387E9F"/>
    <w:rsid w:val="00394880"/>
    <w:rsid w:val="00395E3A"/>
    <w:rsid w:val="003A1508"/>
    <w:rsid w:val="003C01B8"/>
    <w:rsid w:val="003C04F9"/>
    <w:rsid w:val="003C0B9A"/>
    <w:rsid w:val="003C4BC7"/>
    <w:rsid w:val="003D47F8"/>
    <w:rsid w:val="003E37E5"/>
    <w:rsid w:val="004015DB"/>
    <w:rsid w:val="00417905"/>
    <w:rsid w:val="0044351B"/>
    <w:rsid w:val="00443F9F"/>
    <w:rsid w:val="004464A5"/>
    <w:rsid w:val="00455E06"/>
    <w:rsid w:val="0045677B"/>
    <w:rsid w:val="00457BD2"/>
    <w:rsid w:val="00463D1E"/>
    <w:rsid w:val="00464FC3"/>
    <w:rsid w:val="004720A4"/>
    <w:rsid w:val="0047584B"/>
    <w:rsid w:val="004774AD"/>
    <w:rsid w:val="0048195B"/>
    <w:rsid w:val="004866A9"/>
    <w:rsid w:val="0049248D"/>
    <w:rsid w:val="004934EC"/>
    <w:rsid w:val="00494E24"/>
    <w:rsid w:val="004954D8"/>
    <w:rsid w:val="004A0060"/>
    <w:rsid w:val="004A55E2"/>
    <w:rsid w:val="004B0BAA"/>
    <w:rsid w:val="004B18A3"/>
    <w:rsid w:val="004B3858"/>
    <w:rsid w:val="004B3EF8"/>
    <w:rsid w:val="004B46C5"/>
    <w:rsid w:val="004D2CDE"/>
    <w:rsid w:val="004D442A"/>
    <w:rsid w:val="004D4611"/>
    <w:rsid w:val="004F13DA"/>
    <w:rsid w:val="005221AB"/>
    <w:rsid w:val="00522DFB"/>
    <w:rsid w:val="00524156"/>
    <w:rsid w:val="0052488A"/>
    <w:rsid w:val="00530829"/>
    <w:rsid w:val="0054518B"/>
    <w:rsid w:val="00546EF2"/>
    <w:rsid w:val="00547BD7"/>
    <w:rsid w:val="00557B8E"/>
    <w:rsid w:val="00570EC6"/>
    <w:rsid w:val="00575A3E"/>
    <w:rsid w:val="00575E0B"/>
    <w:rsid w:val="0058045F"/>
    <w:rsid w:val="005878E3"/>
    <w:rsid w:val="00590F4B"/>
    <w:rsid w:val="00595474"/>
    <w:rsid w:val="005A1795"/>
    <w:rsid w:val="005B5796"/>
    <w:rsid w:val="005B5AC2"/>
    <w:rsid w:val="005C0478"/>
    <w:rsid w:val="005C57F6"/>
    <w:rsid w:val="005C57FA"/>
    <w:rsid w:val="005D460D"/>
    <w:rsid w:val="005E3C26"/>
    <w:rsid w:val="005E5D50"/>
    <w:rsid w:val="005F12CE"/>
    <w:rsid w:val="005F6E30"/>
    <w:rsid w:val="006138C2"/>
    <w:rsid w:val="006154FD"/>
    <w:rsid w:val="00616E07"/>
    <w:rsid w:val="00620B17"/>
    <w:rsid w:val="00622B53"/>
    <w:rsid w:val="006277BC"/>
    <w:rsid w:val="0063189E"/>
    <w:rsid w:val="00642893"/>
    <w:rsid w:val="0064544D"/>
    <w:rsid w:val="00655DCD"/>
    <w:rsid w:val="00657E27"/>
    <w:rsid w:val="006607FD"/>
    <w:rsid w:val="00694304"/>
    <w:rsid w:val="006A065B"/>
    <w:rsid w:val="006A5198"/>
    <w:rsid w:val="006A70F3"/>
    <w:rsid w:val="006B1080"/>
    <w:rsid w:val="006B2BC3"/>
    <w:rsid w:val="006B4C60"/>
    <w:rsid w:val="006C1372"/>
    <w:rsid w:val="006C1A9A"/>
    <w:rsid w:val="006D2003"/>
    <w:rsid w:val="006D219D"/>
    <w:rsid w:val="006D42E4"/>
    <w:rsid w:val="006D52F0"/>
    <w:rsid w:val="006E0B04"/>
    <w:rsid w:val="006E44F1"/>
    <w:rsid w:val="006E6F24"/>
    <w:rsid w:val="006F50AF"/>
    <w:rsid w:val="006F7A73"/>
    <w:rsid w:val="00705E59"/>
    <w:rsid w:val="00731ED3"/>
    <w:rsid w:val="007402FA"/>
    <w:rsid w:val="00740EB4"/>
    <w:rsid w:val="00752B5E"/>
    <w:rsid w:val="007530E6"/>
    <w:rsid w:val="0075787D"/>
    <w:rsid w:val="00767208"/>
    <w:rsid w:val="00774082"/>
    <w:rsid w:val="007773F6"/>
    <w:rsid w:val="00782530"/>
    <w:rsid w:val="00793BA6"/>
    <w:rsid w:val="007972C4"/>
    <w:rsid w:val="00797E58"/>
    <w:rsid w:val="007A0B58"/>
    <w:rsid w:val="007A0ED6"/>
    <w:rsid w:val="007A69B0"/>
    <w:rsid w:val="007B373A"/>
    <w:rsid w:val="007C383F"/>
    <w:rsid w:val="007C61DB"/>
    <w:rsid w:val="007C6D00"/>
    <w:rsid w:val="007D04E7"/>
    <w:rsid w:val="007D7D6F"/>
    <w:rsid w:val="007E1D36"/>
    <w:rsid w:val="007F5287"/>
    <w:rsid w:val="007F5347"/>
    <w:rsid w:val="007F7FB5"/>
    <w:rsid w:val="008049BA"/>
    <w:rsid w:val="008063C5"/>
    <w:rsid w:val="008123AC"/>
    <w:rsid w:val="00820D42"/>
    <w:rsid w:val="00832F30"/>
    <w:rsid w:val="00835717"/>
    <w:rsid w:val="0083768F"/>
    <w:rsid w:val="00844BCC"/>
    <w:rsid w:val="00852211"/>
    <w:rsid w:val="00852389"/>
    <w:rsid w:val="00860654"/>
    <w:rsid w:val="0086184E"/>
    <w:rsid w:val="00875DF1"/>
    <w:rsid w:val="00877115"/>
    <w:rsid w:val="00877261"/>
    <w:rsid w:val="00877578"/>
    <w:rsid w:val="0088030A"/>
    <w:rsid w:val="00880D93"/>
    <w:rsid w:val="00883F84"/>
    <w:rsid w:val="008856BB"/>
    <w:rsid w:val="008868BA"/>
    <w:rsid w:val="00887289"/>
    <w:rsid w:val="00887B1D"/>
    <w:rsid w:val="008A4A0A"/>
    <w:rsid w:val="008A6EFD"/>
    <w:rsid w:val="008C2338"/>
    <w:rsid w:val="008C4C59"/>
    <w:rsid w:val="008C6ABC"/>
    <w:rsid w:val="008C7148"/>
    <w:rsid w:val="008C76C1"/>
    <w:rsid w:val="008D592F"/>
    <w:rsid w:val="008F344E"/>
    <w:rsid w:val="009018CB"/>
    <w:rsid w:val="00903632"/>
    <w:rsid w:val="0090704B"/>
    <w:rsid w:val="00907202"/>
    <w:rsid w:val="00910779"/>
    <w:rsid w:val="00914FEE"/>
    <w:rsid w:val="00917CFF"/>
    <w:rsid w:val="00925F4F"/>
    <w:rsid w:val="009375C0"/>
    <w:rsid w:val="00945471"/>
    <w:rsid w:val="009572EA"/>
    <w:rsid w:val="00963FDB"/>
    <w:rsid w:val="00966852"/>
    <w:rsid w:val="00974252"/>
    <w:rsid w:val="00981B72"/>
    <w:rsid w:val="00994F97"/>
    <w:rsid w:val="00997DAC"/>
    <w:rsid w:val="009B3F49"/>
    <w:rsid w:val="009B6965"/>
    <w:rsid w:val="009D7B18"/>
    <w:rsid w:val="009F1DDD"/>
    <w:rsid w:val="009F6D6E"/>
    <w:rsid w:val="00A02F49"/>
    <w:rsid w:val="00A051F1"/>
    <w:rsid w:val="00A102B3"/>
    <w:rsid w:val="00A13922"/>
    <w:rsid w:val="00A146F2"/>
    <w:rsid w:val="00A162CD"/>
    <w:rsid w:val="00A26AEE"/>
    <w:rsid w:val="00A275AB"/>
    <w:rsid w:val="00A30695"/>
    <w:rsid w:val="00A31933"/>
    <w:rsid w:val="00A502F5"/>
    <w:rsid w:val="00A51AB4"/>
    <w:rsid w:val="00A534BE"/>
    <w:rsid w:val="00A56AB7"/>
    <w:rsid w:val="00A666F7"/>
    <w:rsid w:val="00A727A0"/>
    <w:rsid w:val="00A74259"/>
    <w:rsid w:val="00A95AB4"/>
    <w:rsid w:val="00AB0F91"/>
    <w:rsid w:val="00AB1062"/>
    <w:rsid w:val="00AB1C84"/>
    <w:rsid w:val="00AB2DC8"/>
    <w:rsid w:val="00AB4477"/>
    <w:rsid w:val="00AC3BEF"/>
    <w:rsid w:val="00AE2628"/>
    <w:rsid w:val="00AE392F"/>
    <w:rsid w:val="00AE6BCC"/>
    <w:rsid w:val="00B13833"/>
    <w:rsid w:val="00B21201"/>
    <w:rsid w:val="00B213FB"/>
    <w:rsid w:val="00B2537D"/>
    <w:rsid w:val="00B27E14"/>
    <w:rsid w:val="00B31C51"/>
    <w:rsid w:val="00B34DAC"/>
    <w:rsid w:val="00B41809"/>
    <w:rsid w:val="00B510B1"/>
    <w:rsid w:val="00B65F18"/>
    <w:rsid w:val="00B66410"/>
    <w:rsid w:val="00B664FA"/>
    <w:rsid w:val="00B80445"/>
    <w:rsid w:val="00B82889"/>
    <w:rsid w:val="00B85F28"/>
    <w:rsid w:val="00B86B4B"/>
    <w:rsid w:val="00B9140E"/>
    <w:rsid w:val="00B94AAA"/>
    <w:rsid w:val="00BB57D0"/>
    <w:rsid w:val="00BD4F0F"/>
    <w:rsid w:val="00BE4A24"/>
    <w:rsid w:val="00BE6CCF"/>
    <w:rsid w:val="00BF76C8"/>
    <w:rsid w:val="00C03354"/>
    <w:rsid w:val="00C113D0"/>
    <w:rsid w:val="00C149AE"/>
    <w:rsid w:val="00C20057"/>
    <w:rsid w:val="00C22BC8"/>
    <w:rsid w:val="00C23E8F"/>
    <w:rsid w:val="00C249DC"/>
    <w:rsid w:val="00C47D2E"/>
    <w:rsid w:val="00C60A52"/>
    <w:rsid w:val="00C6252D"/>
    <w:rsid w:val="00C63492"/>
    <w:rsid w:val="00C729F4"/>
    <w:rsid w:val="00C83F4B"/>
    <w:rsid w:val="00C85076"/>
    <w:rsid w:val="00C93D28"/>
    <w:rsid w:val="00C97C15"/>
    <w:rsid w:val="00CA095E"/>
    <w:rsid w:val="00CA0C95"/>
    <w:rsid w:val="00CA13D8"/>
    <w:rsid w:val="00CA3C98"/>
    <w:rsid w:val="00CA3EE5"/>
    <w:rsid w:val="00CA44F7"/>
    <w:rsid w:val="00CB59CC"/>
    <w:rsid w:val="00CB5B59"/>
    <w:rsid w:val="00CC1AB2"/>
    <w:rsid w:val="00CC6573"/>
    <w:rsid w:val="00CC705E"/>
    <w:rsid w:val="00CC7BAD"/>
    <w:rsid w:val="00CD38CC"/>
    <w:rsid w:val="00CD6242"/>
    <w:rsid w:val="00CD64EA"/>
    <w:rsid w:val="00CE22DC"/>
    <w:rsid w:val="00D016F5"/>
    <w:rsid w:val="00D13D1E"/>
    <w:rsid w:val="00D32C27"/>
    <w:rsid w:val="00D50491"/>
    <w:rsid w:val="00D52060"/>
    <w:rsid w:val="00D66AA7"/>
    <w:rsid w:val="00D72966"/>
    <w:rsid w:val="00D73ECF"/>
    <w:rsid w:val="00D77BE6"/>
    <w:rsid w:val="00D80B6E"/>
    <w:rsid w:val="00D8166C"/>
    <w:rsid w:val="00D82ED1"/>
    <w:rsid w:val="00D87EB4"/>
    <w:rsid w:val="00D92120"/>
    <w:rsid w:val="00D97308"/>
    <w:rsid w:val="00D97B37"/>
    <w:rsid w:val="00DA074D"/>
    <w:rsid w:val="00DB4000"/>
    <w:rsid w:val="00DC26DE"/>
    <w:rsid w:val="00DC297E"/>
    <w:rsid w:val="00DD18C9"/>
    <w:rsid w:val="00DD3541"/>
    <w:rsid w:val="00DE4B33"/>
    <w:rsid w:val="00DF0575"/>
    <w:rsid w:val="00DF1B78"/>
    <w:rsid w:val="00E02B74"/>
    <w:rsid w:val="00E120F9"/>
    <w:rsid w:val="00E20720"/>
    <w:rsid w:val="00E244AB"/>
    <w:rsid w:val="00E31E0E"/>
    <w:rsid w:val="00E373C1"/>
    <w:rsid w:val="00E528B5"/>
    <w:rsid w:val="00E52D5B"/>
    <w:rsid w:val="00E57D6B"/>
    <w:rsid w:val="00E83183"/>
    <w:rsid w:val="00E86752"/>
    <w:rsid w:val="00E9019B"/>
    <w:rsid w:val="00E94FEE"/>
    <w:rsid w:val="00EA2B06"/>
    <w:rsid w:val="00EC3157"/>
    <w:rsid w:val="00EC65FA"/>
    <w:rsid w:val="00EC7A7D"/>
    <w:rsid w:val="00ED160A"/>
    <w:rsid w:val="00EE1D01"/>
    <w:rsid w:val="00EE4818"/>
    <w:rsid w:val="00EF5AEB"/>
    <w:rsid w:val="00EF775E"/>
    <w:rsid w:val="00F01FF5"/>
    <w:rsid w:val="00F041B3"/>
    <w:rsid w:val="00F063CD"/>
    <w:rsid w:val="00F12B41"/>
    <w:rsid w:val="00F23105"/>
    <w:rsid w:val="00F264C1"/>
    <w:rsid w:val="00F31E50"/>
    <w:rsid w:val="00F40034"/>
    <w:rsid w:val="00F47B66"/>
    <w:rsid w:val="00F635A9"/>
    <w:rsid w:val="00F6667D"/>
    <w:rsid w:val="00F67D50"/>
    <w:rsid w:val="00F72107"/>
    <w:rsid w:val="00F83FA5"/>
    <w:rsid w:val="00F9266D"/>
    <w:rsid w:val="00F92A5E"/>
    <w:rsid w:val="00F93C80"/>
    <w:rsid w:val="00F96913"/>
    <w:rsid w:val="00FA3113"/>
    <w:rsid w:val="00FB5031"/>
    <w:rsid w:val="00FB6699"/>
    <w:rsid w:val="00FC2648"/>
    <w:rsid w:val="00FC6F06"/>
    <w:rsid w:val="00FC700D"/>
    <w:rsid w:val="00FD227D"/>
    <w:rsid w:val="00FD53D6"/>
    <w:rsid w:val="00FD66DE"/>
    <w:rsid w:val="00FE14C3"/>
    <w:rsid w:val="00FE78F1"/>
    <w:rsid w:val="00FF74F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2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965"/>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PMingLiU" w:hAnsi="Calibri"/>
      <w:sz w:val="22"/>
      <w:lang w:val="en-SG" w:eastAsia="zh-TW"/>
    </w:rPr>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CommentText">
    <w:name w:val="annotation text"/>
    <w:link w:val="CommentTextChar"/>
    <w:uiPriority w:val="99"/>
    <w:unhideWhenUsed/>
    <w:pPr>
      <w:jc w:val="left"/>
    </w:pPr>
  </w:style>
  <w:style w:type="character" w:customStyle="1" w:styleId="CommentTextChar">
    <w:name w:val="Comment Text Char"/>
    <w:basedOn w:val="DefaultParagraphFont"/>
    <w:link w:val="CommentText"/>
    <w:uiPriority w:val="99"/>
  </w:style>
  <w:style w:type="paragraph" w:styleId="FootnoteText">
    <w:name w:val="footnote text"/>
    <w:uiPriority w:val="2"/>
    <w:pPr>
      <w:widowControl w:val="0"/>
      <w:pBdr>
        <w:top w:val="none" w:sz="2" w:space="0" w:color="000000"/>
        <w:left w:val="none" w:sz="2" w:space="0" w:color="000000"/>
        <w:bottom w:val="none" w:sz="2" w:space="0" w:color="000000"/>
        <w:right w:val="none" w:sz="2" w:space="0" w:color="000000"/>
      </w:pBdr>
      <w:autoSpaceDE w:val="0"/>
      <w:autoSpaceDN w:val="0"/>
      <w:spacing w:after="0" w:line="240" w:lineRule="auto"/>
      <w:jc w:val="left"/>
      <w:textAlignment w:val="baseline"/>
    </w:pPr>
    <w:rPr>
      <w:rFonts w:ascii="Calibri" w:eastAsia="Calibri"/>
      <w:color w:val="00000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D8166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8166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45677B"/>
    <w:pPr>
      <w:tabs>
        <w:tab w:val="center" w:pos="4513"/>
        <w:tab w:val="right" w:pos="9026"/>
      </w:tabs>
      <w:snapToGrid w:val="0"/>
    </w:pPr>
  </w:style>
  <w:style w:type="character" w:customStyle="1" w:styleId="HeaderChar">
    <w:name w:val="Header Char"/>
    <w:basedOn w:val="DefaultParagraphFont"/>
    <w:link w:val="Header"/>
    <w:uiPriority w:val="99"/>
    <w:rsid w:val="0045677B"/>
  </w:style>
  <w:style w:type="paragraph" w:styleId="Footer">
    <w:name w:val="footer"/>
    <w:basedOn w:val="Normal"/>
    <w:link w:val="FooterChar"/>
    <w:uiPriority w:val="99"/>
    <w:unhideWhenUsed/>
    <w:rsid w:val="0045677B"/>
    <w:pPr>
      <w:tabs>
        <w:tab w:val="center" w:pos="4513"/>
        <w:tab w:val="right" w:pos="9026"/>
      </w:tabs>
      <w:snapToGrid w:val="0"/>
    </w:pPr>
  </w:style>
  <w:style w:type="character" w:customStyle="1" w:styleId="FooterChar">
    <w:name w:val="Footer Char"/>
    <w:basedOn w:val="DefaultParagraphFont"/>
    <w:link w:val="Footer"/>
    <w:uiPriority w:val="99"/>
    <w:rsid w:val="0045677B"/>
  </w:style>
  <w:style w:type="paragraph" w:styleId="CommentSubject">
    <w:name w:val="annotation subject"/>
    <w:basedOn w:val="CommentText"/>
    <w:next w:val="CommentText"/>
    <w:link w:val="CommentSubjectChar"/>
    <w:uiPriority w:val="99"/>
    <w:semiHidden/>
    <w:unhideWhenUsed/>
    <w:rsid w:val="00040D3A"/>
    <w:pPr>
      <w:widowControl w:val="0"/>
      <w:wordWrap w:val="0"/>
      <w:autoSpaceDE w:val="0"/>
      <w:autoSpaceDN w:val="0"/>
    </w:pPr>
    <w:rPr>
      <w:b/>
      <w:bCs/>
    </w:rPr>
  </w:style>
  <w:style w:type="character" w:customStyle="1" w:styleId="CommentSubjectChar">
    <w:name w:val="Comment Subject Char"/>
    <w:basedOn w:val="CommentTextChar"/>
    <w:link w:val="CommentSubject"/>
    <w:uiPriority w:val="99"/>
    <w:semiHidden/>
    <w:rsid w:val="00040D3A"/>
    <w:rPr>
      <w:b/>
      <w:bCs/>
    </w:rPr>
  </w:style>
  <w:style w:type="character" w:styleId="FootnoteReference">
    <w:name w:val="footnote reference"/>
    <w:basedOn w:val="DefaultParagraphFont"/>
    <w:uiPriority w:val="99"/>
    <w:semiHidden/>
    <w:unhideWhenUsed/>
    <w:rsid w:val="008049BA"/>
    <w:rPr>
      <w:vertAlign w:val="superscript"/>
    </w:rPr>
  </w:style>
  <w:style w:type="paragraph" w:styleId="Revision">
    <w:name w:val="Revision"/>
    <w:hidden/>
    <w:uiPriority w:val="99"/>
    <w:semiHidden/>
    <w:rsid w:val="0012343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ec.org/Projects/Applying-for-Fund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5FA0-242D-4E40-9B63-C5DCA9AD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5347</Characters>
  <Application>Microsoft Office Word</Application>
  <DocSecurity>4</DocSecurity>
  <Lines>92</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2025-01-06T06:36:00Z</cp:lastPrinted>
  <dcterms:created xsi:type="dcterms:W3CDTF">2025-12-18T09:59:00Z</dcterms:created>
  <dcterms:modified xsi:type="dcterms:W3CDTF">2025-12-18T09:59:00Z</dcterms:modified>
  <cp:version>1000.0100.01</cp:version>
</cp:coreProperties>
</file>