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B1" w:rsidRPr="00BF37B1" w:rsidRDefault="00F2261B" w:rsidP="002400F3">
      <w:pPr>
        <w:jc w:val="center"/>
        <w:rPr>
          <w:b/>
          <w:sz w:val="28"/>
          <w:szCs w:val="28"/>
        </w:rPr>
      </w:pPr>
      <w:r>
        <w:rPr>
          <w:b/>
          <w:sz w:val="28"/>
          <w:szCs w:val="28"/>
        </w:rPr>
        <w:t>APPENDIX 1</w:t>
      </w:r>
    </w:p>
    <w:p w:rsidR="00BF37B1" w:rsidRPr="00BF37B1" w:rsidRDefault="00BF37B1" w:rsidP="002400F3">
      <w:pPr>
        <w:jc w:val="center"/>
        <w:rPr>
          <w:rFonts w:ascii="Calibri" w:hAnsi="Calibri" w:cs="Arial"/>
          <w:b/>
          <w:sz w:val="22"/>
          <w:szCs w:val="22"/>
        </w:rPr>
      </w:pPr>
    </w:p>
    <w:p w:rsidR="00646C05" w:rsidRPr="00BF37B1" w:rsidRDefault="00646C05" w:rsidP="002400F3">
      <w:pPr>
        <w:jc w:val="center"/>
        <w:rPr>
          <w:rFonts w:ascii="Calibri" w:hAnsi="Calibri" w:cs="Arial"/>
          <w:b/>
          <w:szCs w:val="24"/>
        </w:rPr>
      </w:pPr>
      <w:r w:rsidRPr="00BF37B1">
        <w:rPr>
          <w:rFonts w:ascii="Calibri" w:hAnsi="Calibri" w:cs="Arial"/>
          <w:b/>
          <w:szCs w:val="24"/>
        </w:rPr>
        <w:t>BOGOR GOALS PROGRESS REPORT GUIDELINES</w:t>
      </w:r>
    </w:p>
    <w:p w:rsidR="00646C05" w:rsidRPr="00BF37B1" w:rsidRDefault="00646C05" w:rsidP="002400F3">
      <w:pPr>
        <w:jc w:val="center"/>
        <w:rPr>
          <w:rFonts w:ascii="Calibri" w:hAnsi="Calibri" w:cs="Arial"/>
          <w:b/>
          <w:sz w:val="22"/>
          <w:szCs w:val="22"/>
        </w:rPr>
      </w:pPr>
    </w:p>
    <w:p w:rsidR="00646C05" w:rsidRPr="00BF37B1" w:rsidRDefault="00646C05" w:rsidP="002400F3">
      <w:pPr>
        <w:rPr>
          <w:rFonts w:ascii="Calibri" w:hAnsi="Calibri" w:cs="Arial"/>
          <w:b/>
          <w:sz w:val="22"/>
          <w:szCs w:val="22"/>
        </w:rPr>
      </w:pPr>
    </w:p>
    <w:p w:rsidR="00646C05" w:rsidRPr="00BF37B1" w:rsidRDefault="00646C05" w:rsidP="002400F3">
      <w:pPr>
        <w:numPr>
          <w:ilvl w:val="0"/>
          <w:numId w:val="2"/>
        </w:numPr>
        <w:rPr>
          <w:rFonts w:ascii="Calibri" w:hAnsi="Calibri" w:cs="Arial"/>
          <w:b/>
          <w:sz w:val="22"/>
          <w:szCs w:val="22"/>
        </w:rPr>
      </w:pPr>
      <w:r w:rsidRPr="00BF37B1">
        <w:rPr>
          <w:rFonts w:ascii="Calibri" w:hAnsi="Calibri" w:cs="Arial"/>
          <w:b/>
          <w:sz w:val="22"/>
          <w:szCs w:val="22"/>
        </w:rPr>
        <w:t>PURPOSE</w:t>
      </w:r>
    </w:p>
    <w:p w:rsidR="00646C05" w:rsidRPr="00BF37B1" w:rsidRDefault="00646C05" w:rsidP="002400F3">
      <w:pPr>
        <w:rPr>
          <w:rFonts w:ascii="Calibri" w:hAnsi="Calibri" w:cs="Arial"/>
          <w:b/>
          <w:sz w:val="22"/>
          <w:szCs w:val="22"/>
        </w:rPr>
      </w:pPr>
    </w:p>
    <w:p w:rsidR="00646C05" w:rsidRPr="00BF37B1" w:rsidRDefault="00646C05" w:rsidP="002400F3">
      <w:pPr>
        <w:ind w:left="360"/>
        <w:jc w:val="both"/>
        <w:rPr>
          <w:rFonts w:ascii="Calibri" w:hAnsi="Calibri" w:cs="Arial"/>
          <w:sz w:val="22"/>
          <w:szCs w:val="22"/>
        </w:rPr>
      </w:pPr>
      <w:r w:rsidRPr="00BF37B1">
        <w:rPr>
          <w:rFonts w:ascii="Calibri" w:hAnsi="Calibri" w:cs="Arial"/>
          <w:sz w:val="22"/>
          <w:szCs w:val="22"/>
        </w:rPr>
        <w:t xml:space="preserve">The </w:t>
      </w:r>
      <w:r w:rsidRPr="00BF37B1">
        <w:rPr>
          <w:rFonts w:ascii="Calibri" w:hAnsi="Calibri" w:cs="Arial"/>
          <w:i/>
          <w:sz w:val="22"/>
          <w:szCs w:val="22"/>
        </w:rPr>
        <w:t>Bogor Goals Progress Report Guidelines</w:t>
      </w:r>
      <w:r w:rsidRPr="00BF37B1">
        <w:rPr>
          <w:rFonts w:ascii="Calibri" w:hAnsi="Calibri" w:cs="Arial"/>
          <w:sz w:val="22"/>
          <w:szCs w:val="22"/>
        </w:rPr>
        <w:t xml:space="preserve"> will be implemented for reviewing 21 economies’ progress towards achieving free and open trade and investment by 2020.</w:t>
      </w:r>
    </w:p>
    <w:p w:rsidR="00646C05" w:rsidRPr="00BF37B1" w:rsidRDefault="00646C05" w:rsidP="002400F3">
      <w:pPr>
        <w:rPr>
          <w:rFonts w:ascii="Calibri" w:hAnsi="Calibri" w:cs="Arial"/>
          <w:b/>
          <w:sz w:val="22"/>
          <w:szCs w:val="22"/>
        </w:rPr>
      </w:pPr>
    </w:p>
    <w:p w:rsidR="00646C05" w:rsidRPr="00BF37B1" w:rsidRDefault="00646C05" w:rsidP="002400F3">
      <w:pPr>
        <w:numPr>
          <w:ilvl w:val="0"/>
          <w:numId w:val="2"/>
        </w:numPr>
        <w:rPr>
          <w:rFonts w:ascii="Calibri" w:hAnsi="Calibri" w:cs="Arial"/>
          <w:b/>
          <w:sz w:val="22"/>
          <w:szCs w:val="22"/>
        </w:rPr>
      </w:pPr>
      <w:r w:rsidRPr="00BF37B1">
        <w:rPr>
          <w:rFonts w:ascii="Calibri" w:hAnsi="Calibri" w:cs="Arial"/>
          <w:b/>
          <w:sz w:val="22"/>
          <w:szCs w:val="22"/>
        </w:rPr>
        <w:t xml:space="preserve">RATIONALE FOR A REVISED MECHANISM </w:t>
      </w:r>
    </w:p>
    <w:p w:rsidR="00646C05" w:rsidRPr="00BF37B1" w:rsidRDefault="00646C05" w:rsidP="002400F3">
      <w:pPr>
        <w:rPr>
          <w:rFonts w:ascii="Calibri" w:hAnsi="Calibri" w:cs="Arial"/>
          <w:sz w:val="22"/>
          <w:szCs w:val="22"/>
        </w:rPr>
      </w:pPr>
    </w:p>
    <w:p w:rsidR="00646C05" w:rsidRPr="00BF37B1" w:rsidRDefault="00646C05" w:rsidP="002400F3">
      <w:pPr>
        <w:ind w:left="360"/>
        <w:jc w:val="both"/>
        <w:rPr>
          <w:rFonts w:ascii="Calibri" w:hAnsi="Calibri" w:cs="Arial"/>
          <w:sz w:val="22"/>
          <w:szCs w:val="22"/>
        </w:rPr>
      </w:pPr>
      <w:r w:rsidRPr="00BF37B1">
        <w:rPr>
          <w:rFonts w:ascii="Calibri" w:hAnsi="Calibri" w:cs="Arial"/>
          <w:sz w:val="22"/>
          <w:szCs w:val="22"/>
        </w:rPr>
        <w:t xml:space="preserve">In Montana, in May 2011, Senior Officials (SOM) endorsed recommendations prepared by the Committee of Trade and Investment (CTI) for a more robust mechanism to track progress towards the Bogor Goals. Background information can be found at: 2011/SOM2/021anx2. </w:t>
      </w:r>
    </w:p>
    <w:p w:rsidR="00646C05" w:rsidRPr="00BF37B1" w:rsidRDefault="00646C05" w:rsidP="002400F3">
      <w:pPr>
        <w:rPr>
          <w:rFonts w:ascii="Calibri" w:hAnsi="Calibri" w:cs="Arial"/>
          <w:b/>
          <w:sz w:val="22"/>
          <w:szCs w:val="22"/>
        </w:rPr>
      </w:pPr>
    </w:p>
    <w:p w:rsidR="00646C05" w:rsidRPr="00BF37B1" w:rsidRDefault="00646C05" w:rsidP="002400F3">
      <w:pPr>
        <w:numPr>
          <w:ilvl w:val="0"/>
          <w:numId w:val="2"/>
        </w:numPr>
        <w:jc w:val="both"/>
        <w:rPr>
          <w:rFonts w:ascii="Calibri" w:hAnsi="Calibri" w:cs="Arial"/>
          <w:b/>
          <w:sz w:val="22"/>
          <w:szCs w:val="22"/>
        </w:rPr>
      </w:pPr>
      <w:r w:rsidRPr="00BF37B1">
        <w:rPr>
          <w:rFonts w:ascii="Calibri" w:hAnsi="Calibri" w:cs="Arial"/>
          <w:b/>
          <w:sz w:val="22"/>
          <w:szCs w:val="22"/>
        </w:rPr>
        <w:t>BOGOR GOALS PROGRESS REPORT GUIDELINES</w:t>
      </w:r>
    </w:p>
    <w:p w:rsidR="00646C05" w:rsidRPr="00BF37B1" w:rsidRDefault="00646C05" w:rsidP="002400F3">
      <w:pPr>
        <w:jc w:val="both"/>
        <w:rPr>
          <w:rFonts w:ascii="Calibri" w:hAnsi="Calibri" w:cs="Arial"/>
          <w:b/>
          <w:sz w:val="22"/>
          <w:szCs w:val="22"/>
        </w:rPr>
      </w:pPr>
    </w:p>
    <w:p w:rsidR="00646C05" w:rsidRPr="00BF37B1" w:rsidRDefault="00646C05" w:rsidP="002400F3">
      <w:pPr>
        <w:pStyle w:val="MediumGrid1-Accent22"/>
        <w:numPr>
          <w:ilvl w:val="0"/>
          <w:numId w:val="1"/>
        </w:numPr>
        <w:jc w:val="both"/>
        <w:rPr>
          <w:rFonts w:cs="Arial"/>
          <w:b/>
        </w:rPr>
      </w:pPr>
      <w:r w:rsidRPr="00BF37B1">
        <w:rPr>
          <w:rFonts w:cs="Arial"/>
          <w:b/>
        </w:rPr>
        <w:t xml:space="preserve">Format of the Individual Action Plan (IAP)  </w:t>
      </w:r>
    </w:p>
    <w:p w:rsidR="00646C05" w:rsidRPr="00BF37B1" w:rsidRDefault="00646C05" w:rsidP="002400F3">
      <w:pPr>
        <w:pStyle w:val="MediumGrid1-Accent22"/>
        <w:jc w:val="both"/>
        <w:rPr>
          <w:rFonts w:cs="Arial"/>
        </w:rPr>
      </w:pP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 xml:space="preserve">Economies will report on the </w:t>
      </w:r>
      <w:r w:rsidRPr="00BF37B1">
        <w:rPr>
          <w:rFonts w:ascii="Calibri" w:hAnsi="Calibri" w:cs="Arial"/>
          <w:i/>
          <w:sz w:val="22"/>
          <w:szCs w:val="22"/>
        </w:rPr>
        <w:t>IAP Template</w:t>
      </w:r>
      <w:r w:rsidRPr="00BF37B1">
        <w:rPr>
          <w:rFonts w:ascii="Calibri" w:hAnsi="Calibri" w:cs="Arial"/>
          <w:sz w:val="22"/>
          <w:szCs w:val="22"/>
        </w:rPr>
        <w:t xml:space="preserve"> (annex 1) </w:t>
      </w:r>
      <w:r w:rsidRPr="00BF37B1">
        <w:rPr>
          <w:rFonts w:ascii="Calibri" w:hAnsi="Calibri" w:cs="Arial"/>
          <w:i/>
          <w:sz w:val="22"/>
          <w:szCs w:val="22"/>
        </w:rPr>
        <w:t>new</w:t>
      </w:r>
      <w:r w:rsidRPr="00BF37B1">
        <w:rPr>
          <w:rFonts w:ascii="Calibri" w:hAnsi="Calibri" w:cs="Arial"/>
          <w:sz w:val="22"/>
          <w:szCs w:val="22"/>
        </w:rPr>
        <w:t xml:space="preserve"> trade and investment policies and procedures and the improvements planned for the remaining areas to fill the gap in moving closer to achieving the Bogor Goals. If policy settings remain the same from one reporting period to the next, then there is no need to collect and repeat the same information. 2010 economies</w:t>
      </w:r>
      <w:r w:rsidRPr="00BF37B1">
        <w:rPr>
          <w:rStyle w:val="FootnoteReference"/>
          <w:rFonts w:ascii="Calibri" w:hAnsi="Calibri" w:cs="Arial"/>
          <w:sz w:val="22"/>
          <w:szCs w:val="22"/>
        </w:rPr>
        <w:footnoteReference w:id="1"/>
      </w:r>
      <w:r w:rsidRPr="00BF37B1">
        <w:rPr>
          <w:rFonts w:ascii="Calibri" w:hAnsi="Calibri" w:cs="Arial"/>
          <w:sz w:val="22"/>
          <w:szCs w:val="22"/>
        </w:rPr>
        <w:t xml:space="preserve"> might give emphasis to those areas where shortcomings were highlighted in the </w:t>
      </w:r>
      <w:r w:rsidRPr="00BF37B1">
        <w:rPr>
          <w:rFonts w:ascii="Calibri" w:hAnsi="Calibri" w:cs="Arial"/>
          <w:i/>
          <w:sz w:val="22"/>
          <w:szCs w:val="22"/>
        </w:rPr>
        <w:t>Leaders' Statement on 2010 Bogor Goals Assessment.</w:t>
      </w:r>
    </w:p>
    <w:p w:rsidR="00646C05" w:rsidRPr="00BF37B1" w:rsidRDefault="00646C05" w:rsidP="002400F3">
      <w:pPr>
        <w:ind w:left="1440"/>
        <w:jc w:val="both"/>
        <w:rPr>
          <w:rFonts w:ascii="Calibri" w:hAnsi="Calibri" w:cs="Arial"/>
          <w:sz w:val="22"/>
          <w:szCs w:val="22"/>
        </w:rPr>
      </w:pP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 xml:space="preserve">The areas to be reported will be based on the </w:t>
      </w:r>
      <w:r w:rsidRPr="00BF37B1">
        <w:rPr>
          <w:rFonts w:ascii="Calibri" w:hAnsi="Calibri" w:cs="Arial"/>
          <w:i/>
          <w:sz w:val="22"/>
          <w:szCs w:val="22"/>
        </w:rPr>
        <w:t>Osaka Action Agenda</w:t>
      </w:r>
      <w:r w:rsidRPr="00BF37B1">
        <w:rPr>
          <w:rFonts w:ascii="Calibri" w:hAnsi="Calibri" w:cs="Arial"/>
          <w:sz w:val="22"/>
          <w:szCs w:val="22"/>
        </w:rPr>
        <w:t xml:space="preserve"> plus those added afterwards: </w:t>
      </w:r>
    </w:p>
    <w:p w:rsidR="00646C05" w:rsidRPr="00BF37B1" w:rsidRDefault="00646C05" w:rsidP="002400F3">
      <w:pPr>
        <w:jc w:val="both"/>
        <w:rPr>
          <w:rFonts w:ascii="Calibri" w:hAnsi="Calibri" w:cs="Arial"/>
          <w:sz w:val="22"/>
          <w:szCs w:val="22"/>
        </w:rPr>
      </w:pP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Tariffs</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 xml:space="preserve">Non-tariff measures </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 xml:space="preserve">Services </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Investment</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 xml:space="preserve">Standards and conformance </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Customs procedures</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 xml:space="preserve">Intellectual property </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Competition policy</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Government procurement</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Deregulation/regulatory review</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World Trade Organization (WTO) obligations including rules of origin</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Dispute mediation</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Mobility of business people</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Official websites that gather economies´ information</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Transparency</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t>Regional Trade Agreements / Free Trade Agreements (RTAs/FTAs)</w:t>
      </w:r>
    </w:p>
    <w:p w:rsidR="00646C05" w:rsidRPr="00BF37B1" w:rsidRDefault="00646C05" w:rsidP="002400F3">
      <w:pPr>
        <w:numPr>
          <w:ilvl w:val="0"/>
          <w:numId w:val="4"/>
        </w:numPr>
        <w:jc w:val="both"/>
        <w:rPr>
          <w:rFonts w:ascii="Calibri" w:hAnsi="Calibri" w:cs="Arial"/>
          <w:sz w:val="22"/>
          <w:szCs w:val="22"/>
        </w:rPr>
      </w:pPr>
      <w:r w:rsidRPr="00BF37B1">
        <w:rPr>
          <w:rFonts w:ascii="Calibri" w:hAnsi="Calibri" w:cs="Arial"/>
          <w:sz w:val="22"/>
          <w:szCs w:val="22"/>
        </w:rPr>
        <w:lastRenderedPageBreak/>
        <w:t xml:space="preserve">Other voluntary reporting areas </w:t>
      </w:r>
    </w:p>
    <w:p w:rsidR="00646C05" w:rsidRPr="00BF37B1" w:rsidRDefault="00646C05" w:rsidP="002400F3">
      <w:pPr>
        <w:jc w:val="both"/>
        <w:rPr>
          <w:rFonts w:ascii="Calibri" w:hAnsi="Calibri" w:cs="Arial"/>
          <w:sz w:val="22"/>
          <w:szCs w:val="22"/>
        </w:rPr>
      </w:pPr>
    </w:p>
    <w:p w:rsidR="00646C05" w:rsidRPr="00BF37B1" w:rsidRDefault="00646C05" w:rsidP="002400F3">
      <w:pPr>
        <w:numPr>
          <w:ilvl w:val="0"/>
          <w:numId w:val="3"/>
        </w:numPr>
        <w:jc w:val="both"/>
        <w:rPr>
          <w:rFonts w:ascii="Calibri" w:hAnsi="Calibri" w:cs="Arial"/>
          <w:i/>
          <w:sz w:val="22"/>
          <w:szCs w:val="22"/>
        </w:rPr>
      </w:pPr>
      <w:r w:rsidRPr="00BF37B1">
        <w:rPr>
          <w:rFonts w:ascii="Calibri" w:hAnsi="Calibri" w:cs="Arial"/>
          <w:sz w:val="22"/>
          <w:szCs w:val="22"/>
        </w:rPr>
        <w:t xml:space="preserve">Economies will describe, in brief points only, significant new developments under each chapter heading. The information provided should be succinct but sufficient for the reader to understand the outline of the measure being described. Refer to the IAP reporting templates revised in 2004 together with </w:t>
      </w:r>
      <w:r w:rsidRPr="00BF37B1">
        <w:rPr>
          <w:rFonts w:ascii="Calibri" w:hAnsi="Calibri" w:cs="Arial"/>
          <w:i/>
          <w:sz w:val="22"/>
          <w:szCs w:val="22"/>
        </w:rPr>
        <w:t>2000 APEC IAP Format Guidelines</w:t>
      </w:r>
      <w:r w:rsidRPr="00BF37B1">
        <w:rPr>
          <w:rFonts w:ascii="Calibri" w:hAnsi="Calibri" w:cs="Arial"/>
          <w:sz w:val="22"/>
          <w:szCs w:val="22"/>
        </w:rPr>
        <w:t xml:space="preserve"> as guidance for reporting on each issue area</w:t>
      </w:r>
      <w:r w:rsidRPr="00BF37B1">
        <w:rPr>
          <w:rFonts w:ascii="Calibri" w:hAnsi="Calibri" w:cs="Arial"/>
          <w:i/>
          <w:sz w:val="22"/>
          <w:szCs w:val="22"/>
        </w:rPr>
        <w:t xml:space="preserve">.  </w:t>
      </w:r>
    </w:p>
    <w:p w:rsidR="00646C05" w:rsidRPr="00BF37B1" w:rsidRDefault="00646C05" w:rsidP="002400F3">
      <w:pPr>
        <w:ind w:left="720"/>
        <w:jc w:val="both"/>
        <w:rPr>
          <w:rFonts w:ascii="Calibri" w:hAnsi="Calibri" w:cs="Arial"/>
          <w:i/>
          <w:sz w:val="22"/>
          <w:szCs w:val="22"/>
        </w:rPr>
      </w:pP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Wherever possible entries should include a reference point (website, document, contact address, etc.) where further information can be obtained.</w:t>
      </w:r>
    </w:p>
    <w:p w:rsidR="00646C05" w:rsidRPr="00BF37B1" w:rsidRDefault="00646C05" w:rsidP="002400F3">
      <w:pPr>
        <w:jc w:val="both"/>
        <w:rPr>
          <w:rFonts w:ascii="Calibri" w:hAnsi="Calibri" w:cs="Arial"/>
          <w:sz w:val="22"/>
          <w:szCs w:val="22"/>
          <w:highlight w:val="cyan"/>
        </w:rPr>
      </w:pPr>
    </w:p>
    <w:p w:rsidR="00646C05" w:rsidRPr="00BF37B1" w:rsidRDefault="00646C05" w:rsidP="002400F3">
      <w:pPr>
        <w:pStyle w:val="MediumGrid1-Accent22"/>
        <w:numPr>
          <w:ilvl w:val="0"/>
          <w:numId w:val="1"/>
        </w:numPr>
        <w:jc w:val="both"/>
        <w:rPr>
          <w:rFonts w:cs="Arial"/>
          <w:b/>
        </w:rPr>
      </w:pPr>
      <w:r w:rsidRPr="00BF37B1">
        <w:rPr>
          <w:rFonts w:cs="Arial"/>
          <w:b/>
        </w:rPr>
        <w:t xml:space="preserve">Reporting from the Policy Support Unit  </w:t>
      </w:r>
    </w:p>
    <w:p w:rsidR="00646C05" w:rsidRPr="00BF37B1" w:rsidRDefault="00646C05" w:rsidP="002400F3">
      <w:pPr>
        <w:jc w:val="both"/>
        <w:rPr>
          <w:rFonts w:ascii="Calibri" w:hAnsi="Calibri" w:cs="Arial"/>
          <w:sz w:val="22"/>
          <w:szCs w:val="22"/>
        </w:rPr>
      </w:pP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The Policy Support Unit (PSU) will prepare a short one- to two-page report with key highlights on members’ main achievements and remaining areas for improvement in the year of review. This would include information setting out the prevailing situation of trade and investment liberalization and facilitation of the economies, and use, where possible, indicators to facilitate the assessment. Economies would have the opportunity to examine the PSU’s report ahead of the SOM discussion, preferably with a few months’ leeway to ensure that each economy has sufficient time to review the report, make comments and highlight any factual errors, if any. Senior Officials will also have an opportunity to respond to the PSU’s report at their meeting, and also pose questions to each other, before it is finalized and made public as an independent report by PSU.</w:t>
      </w:r>
    </w:p>
    <w:p w:rsidR="00646C05" w:rsidRPr="00BF37B1" w:rsidRDefault="00646C05" w:rsidP="002400F3">
      <w:pPr>
        <w:ind w:left="720"/>
        <w:jc w:val="both"/>
        <w:rPr>
          <w:rFonts w:ascii="Calibri" w:hAnsi="Calibri" w:cs="Arial"/>
          <w:sz w:val="22"/>
          <w:szCs w:val="22"/>
        </w:rPr>
      </w:pP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 xml:space="preserve">In response to ABAC’s recommendation, the PSU will also prepare a “Dashboard” to complement the brief report abovementioned. </w:t>
      </w:r>
    </w:p>
    <w:p w:rsidR="00646C05" w:rsidRPr="00BF37B1" w:rsidRDefault="00646C05" w:rsidP="002400F3">
      <w:pPr>
        <w:jc w:val="both"/>
        <w:rPr>
          <w:rFonts w:ascii="Calibri" w:hAnsi="Calibri" w:cs="Arial"/>
          <w:sz w:val="22"/>
          <w:szCs w:val="22"/>
        </w:rPr>
      </w:pPr>
    </w:p>
    <w:p w:rsidR="00646C05" w:rsidRPr="00BF37B1" w:rsidRDefault="00646C05" w:rsidP="002400F3">
      <w:pPr>
        <w:pStyle w:val="MediumGrid1-Accent22"/>
        <w:numPr>
          <w:ilvl w:val="0"/>
          <w:numId w:val="1"/>
        </w:numPr>
        <w:jc w:val="both"/>
        <w:rPr>
          <w:rFonts w:cs="Arial"/>
          <w:b/>
        </w:rPr>
      </w:pPr>
      <w:r w:rsidRPr="00BF37B1">
        <w:rPr>
          <w:rFonts w:cs="Arial"/>
          <w:b/>
        </w:rPr>
        <w:t xml:space="preserve">IAP Peer Review Process </w:t>
      </w:r>
    </w:p>
    <w:p w:rsidR="00646C05" w:rsidRPr="00BF37B1" w:rsidRDefault="00646C05" w:rsidP="002400F3">
      <w:pPr>
        <w:pStyle w:val="MediumGrid1-Accent22"/>
        <w:jc w:val="both"/>
        <w:rPr>
          <w:rFonts w:cs="Arial"/>
        </w:rPr>
      </w:pPr>
    </w:p>
    <w:p w:rsidR="00646C05" w:rsidRPr="00BF37B1" w:rsidRDefault="00646C05" w:rsidP="002400F3">
      <w:pPr>
        <w:ind w:left="720"/>
        <w:jc w:val="both"/>
        <w:rPr>
          <w:rFonts w:ascii="Calibri" w:hAnsi="Calibri" w:cs="Arial"/>
          <w:sz w:val="22"/>
          <w:szCs w:val="22"/>
        </w:rPr>
      </w:pPr>
      <w:r w:rsidRPr="00BF37B1">
        <w:rPr>
          <w:rFonts w:ascii="Calibri" w:hAnsi="Calibri" w:cs="Arial"/>
          <w:sz w:val="22"/>
          <w:szCs w:val="22"/>
        </w:rPr>
        <w:t xml:space="preserve">Regular Senior Officials’ review </w:t>
      </w:r>
    </w:p>
    <w:p w:rsidR="00646C05" w:rsidRPr="00BF37B1" w:rsidRDefault="00646C05" w:rsidP="002400F3">
      <w:pPr>
        <w:ind w:left="720"/>
        <w:jc w:val="both"/>
        <w:rPr>
          <w:rFonts w:ascii="Calibri" w:hAnsi="Calibri" w:cs="Arial"/>
          <w:sz w:val="22"/>
          <w:szCs w:val="22"/>
        </w:rPr>
      </w:pPr>
    </w:p>
    <w:p w:rsidR="00646C05" w:rsidRPr="00BF37B1" w:rsidRDefault="00646C05" w:rsidP="002400F3">
      <w:pPr>
        <w:numPr>
          <w:ilvl w:val="0"/>
          <w:numId w:val="3"/>
        </w:numPr>
        <w:jc w:val="both"/>
        <w:rPr>
          <w:rFonts w:ascii="Calibri" w:hAnsi="Calibri" w:cs="Arial"/>
          <w:sz w:val="22"/>
          <w:szCs w:val="22"/>
        </w:rPr>
      </w:pPr>
      <w:proofErr w:type="spellStart"/>
      <w:r w:rsidRPr="00BF37B1">
        <w:rPr>
          <w:rFonts w:ascii="Calibri" w:hAnsi="Calibri" w:cs="Arial"/>
          <w:sz w:val="22"/>
          <w:szCs w:val="22"/>
        </w:rPr>
        <w:t>Economieswill</w:t>
      </w:r>
      <w:proofErr w:type="spellEnd"/>
      <w:r w:rsidRPr="00BF37B1">
        <w:rPr>
          <w:rFonts w:ascii="Calibri" w:hAnsi="Calibri" w:cs="Arial"/>
          <w:sz w:val="22"/>
          <w:szCs w:val="22"/>
        </w:rPr>
        <w:t xml:space="preserve"> be reviewed by Senior Officials in: 2012, 2014, and 2018.  In each previous year, the CTI will table for SOM’s endorsement the schedule to prepare the IAP submission and PSU report, taking into account the calendar for that APEC’s year.</w:t>
      </w:r>
    </w:p>
    <w:p w:rsidR="00646C05" w:rsidRPr="00BF37B1" w:rsidRDefault="00646C05" w:rsidP="002400F3">
      <w:pPr>
        <w:pStyle w:val="ListParagraph"/>
        <w:rPr>
          <w:rFonts w:cs="Arial"/>
        </w:rPr>
      </w:pP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For 2012, economies will submit their templates by SOM1, February 2012. Senior Officials will discuss the brief reports prepared by the PSU by SOM2, June/July 2012.</w:t>
      </w:r>
    </w:p>
    <w:p w:rsidR="00646C05" w:rsidRPr="00BF37B1" w:rsidRDefault="00646C05" w:rsidP="002400F3">
      <w:pPr>
        <w:ind w:left="720"/>
        <w:jc w:val="both"/>
        <w:rPr>
          <w:rFonts w:ascii="Calibri" w:hAnsi="Calibri" w:cs="Arial"/>
          <w:sz w:val="22"/>
          <w:szCs w:val="22"/>
        </w:rPr>
      </w:pPr>
    </w:p>
    <w:p w:rsidR="00646C05" w:rsidRPr="00BF37B1" w:rsidRDefault="00646C05" w:rsidP="002400F3">
      <w:pPr>
        <w:ind w:left="720"/>
        <w:jc w:val="both"/>
        <w:rPr>
          <w:rFonts w:ascii="Calibri" w:hAnsi="Calibri" w:cs="Arial"/>
          <w:sz w:val="22"/>
          <w:szCs w:val="22"/>
        </w:rPr>
      </w:pPr>
      <w:r w:rsidRPr="00BF37B1">
        <w:rPr>
          <w:rFonts w:ascii="Calibri" w:hAnsi="Calibri" w:cs="Arial"/>
          <w:sz w:val="22"/>
          <w:szCs w:val="22"/>
        </w:rPr>
        <w:t xml:space="preserve">Second-term review </w:t>
      </w:r>
    </w:p>
    <w:p w:rsidR="00646C05" w:rsidRPr="00BF37B1" w:rsidRDefault="00646C05" w:rsidP="002400F3">
      <w:pPr>
        <w:ind w:left="720"/>
        <w:jc w:val="both"/>
        <w:rPr>
          <w:rFonts w:ascii="Calibri" w:hAnsi="Calibri" w:cs="Arial"/>
          <w:sz w:val="22"/>
          <w:szCs w:val="22"/>
        </w:rPr>
      </w:pP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 xml:space="preserve">Economies will be assessed in 2016, as a second term review. </w:t>
      </w: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 xml:space="preserve">2010 economies might give emphasis to those areas where shortcomings were highlighted in the Leaders' Statement on 2010 Bogor Goals Assessment. </w:t>
      </w: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 xml:space="preserve">The host economy in 2016 supported by the APEC Secretariat and the PSU will lead the assessment based on the information provided in the </w:t>
      </w:r>
      <w:r w:rsidRPr="00BF37B1">
        <w:rPr>
          <w:rFonts w:ascii="Calibri" w:hAnsi="Calibri" w:cs="Arial"/>
          <w:i/>
          <w:sz w:val="22"/>
          <w:szCs w:val="22"/>
        </w:rPr>
        <w:t>IAP Template</w:t>
      </w:r>
      <w:r w:rsidRPr="00BF37B1">
        <w:rPr>
          <w:rFonts w:ascii="Calibri" w:hAnsi="Calibri" w:cs="Arial"/>
          <w:sz w:val="22"/>
          <w:szCs w:val="22"/>
        </w:rPr>
        <w:t xml:space="preserve">, and also information setting out the prevailing situation of trade and investment liberalization and facilitation of the economies, and use, where possible, indicators to facilitate the assessment. </w:t>
      </w: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lastRenderedPageBreak/>
        <w:t>The APEC Secretariat and the PSU could complement this assessment by using, where appropriate, data from the World Trade Organization, International Monetary Fund and other respectable sources, considering that data could be available for tariffs, but similar information for non-tariff measures, services and investment might be less visible.</w:t>
      </w:r>
    </w:p>
    <w:p w:rsidR="00646C05" w:rsidRPr="00BF37B1" w:rsidRDefault="00646C05" w:rsidP="002400F3">
      <w:pPr>
        <w:jc w:val="both"/>
        <w:rPr>
          <w:rFonts w:ascii="Calibri" w:hAnsi="Calibri" w:cs="Arial"/>
          <w:sz w:val="22"/>
          <w:szCs w:val="22"/>
        </w:rPr>
      </w:pPr>
    </w:p>
    <w:p w:rsidR="00646C05" w:rsidRPr="00BF37B1" w:rsidRDefault="00646C05" w:rsidP="002400F3">
      <w:pPr>
        <w:ind w:left="720"/>
        <w:jc w:val="both"/>
        <w:rPr>
          <w:rFonts w:ascii="Calibri" w:hAnsi="Calibri" w:cs="Arial"/>
          <w:sz w:val="22"/>
          <w:szCs w:val="22"/>
        </w:rPr>
      </w:pPr>
      <w:r w:rsidRPr="00BF37B1">
        <w:rPr>
          <w:rFonts w:ascii="Calibri" w:hAnsi="Calibri" w:cs="Arial"/>
          <w:sz w:val="22"/>
          <w:szCs w:val="22"/>
        </w:rPr>
        <w:t xml:space="preserve">Final Assessment </w:t>
      </w:r>
    </w:p>
    <w:p w:rsidR="00646C05" w:rsidRPr="00BF37B1" w:rsidRDefault="00646C05" w:rsidP="002400F3">
      <w:pPr>
        <w:jc w:val="both"/>
        <w:rPr>
          <w:rFonts w:ascii="Calibri" w:hAnsi="Calibri" w:cs="Arial"/>
          <w:sz w:val="22"/>
          <w:szCs w:val="22"/>
        </w:rPr>
      </w:pP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 xml:space="preserve">In 2020, economies will undertake a final assessment toward the achievement of the Bogor Goals. </w:t>
      </w: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 xml:space="preserve">The template prepared by Japan in 2010 could be used as the basis for the evaluation, to be consistent as much as possible with the 2010 assessment. </w:t>
      </w: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 xml:space="preserve">The host economy in 2020 supported by the APEC Secretariat, the PSU will lead the assessment based on the individual IAP reports and information provided in the abovementioned templates. </w:t>
      </w: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The APEC Secretariat and the PSU could complement this assessment by using, where appropriate, data from the World Trade Organization or other international organizations.</w:t>
      </w:r>
    </w:p>
    <w:p w:rsidR="00646C05" w:rsidRPr="00BF37B1" w:rsidRDefault="00646C05" w:rsidP="002400F3">
      <w:pPr>
        <w:jc w:val="both"/>
        <w:rPr>
          <w:rFonts w:ascii="Calibri" w:hAnsi="Calibri" w:cs="Arial"/>
          <w:sz w:val="22"/>
          <w:szCs w:val="22"/>
        </w:rPr>
      </w:pPr>
    </w:p>
    <w:p w:rsidR="00646C05" w:rsidRPr="00BF37B1" w:rsidRDefault="00646C05" w:rsidP="002400F3">
      <w:pPr>
        <w:pStyle w:val="MediumGrid1-Accent22"/>
        <w:numPr>
          <w:ilvl w:val="0"/>
          <w:numId w:val="1"/>
        </w:numPr>
        <w:jc w:val="both"/>
        <w:rPr>
          <w:rFonts w:cs="Arial"/>
          <w:b/>
        </w:rPr>
      </w:pPr>
      <w:r w:rsidRPr="00BF37B1">
        <w:rPr>
          <w:rFonts w:cs="Arial"/>
          <w:b/>
        </w:rPr>
        <w:t xml:space="preserve">Public Access to the IAP Information </w:t>
      </w:r>
    </w:p>
    <w:p w:rsidR="00646C05" w:rsidRPr="00BF37B1" w:rsidRDefault="00646C05" w:rsidP="002400F3">
      <w:pPr>
        <w:pStyle w:val="MediumGrid1-Accent22"/>
        <w:jc w:val="both"/>
        <w:rPr>
          <w:rFonts w:cs="Arial"/>
        </w:rPr>
      </w:pP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 xml:space="preserve">The APEC Secretariat and the PSU would make the APEC-IAP website more user-friendly as well as improve its functionality, among other measures: </w:t>
      </w:r>
      <w:proofErr w:type="spellStart"/>
      <w:r w:rsidRPr="00BF37B1">
        <w:rPr>
          <w:rFonts w:ascii="Calibri" w:hAnsi="Calibri" w:cs="Arial"/>
          <w:sz w:val="22"/>
          <w:szCs w:val="22"/>
        </w:rPr>
        <w:t>i</w:t>
      </w:r>
      <w:proofErr w:type="spellEnd"/>
      <w:r w:rsidRPr="00BF37B1">
        <w:rPr>
          <w:rFonts w:ascii="Calibri" w:hAnsi="Calibri" w:cs="Arial"/>
          <w:sz w:val="22"/>
          <w:szCs w:val="22"/>
        </w:rPr>
        <w:t xml:space="preserve">) the </w:t>
      </w:r>
      <w:r w:rsidRPr="00BF37B1">
        <w:rPr>
          <w:rFonts w:ascii="Calibri" w:hAnsi="Calibri" w:cs="Arial"/>
          <w:i/>
          <w:sz w:val="22"/>
          <w:szCs w:val="22"/>
        </w:rPr>
        <w:t>IAP Template</w:t>
      </w:r>
      <w:r w:rsidRPr="00BF37B1">
        <w:rPr>
          <w:rFonts w:ascii="Calibri" w:hAnsi="Calibri" w:cs="Arial"/>
          <w:sz w:val="22"/>
          <w:szCs w:val="22"/>
        </w:rPr>
        <w:t xml:space="preserve"> might be divided by chapters, so users can download only the section of their interest; and ii) to include a point of contact in the APEC Secretariat to attend requests for further information. Additionally, visits to the website could be tracked. </w:t>
      </w:r>
    </w:p>
    <w:p w:rsidR="00646C05" w:rsidRPr="00BF37B1" w:rsidRDefault="00646C05" w:rsidP="002400F3">
      <w:pPr>
        <w:numPr>
          <w:ilvl w:val="0"/>
          <w:numId w:val="3"/>
        </w:numPr>
        <w:jc w:val="both"/>
        <w:rPr>
          <w:rFonts w:ascii="Calibri" w:hAnsi="Calibri" w:cs="Arial"/>
          <w:sz w:val="22"/>
          <w:szCs w:val="22"/>
        </w:rPr>
      </w:pPr>
      <w:r w:rsidRPr="00BF37B1">
        <w:rPr>
          <w:rFonts w:ascii="Calibri" w:hAnsi="Calibri" w:cs="Arial"/>
          <w:sz w:val="22"/>
          <w:szCs w:val="22"/>
        </w:rPr>
        <w:t xml:space="preserve">The IAP Template submitted by economies and the report prepared by the PSU will be made publicly available on the internet. </w:t>
      </w:r>
    </w:p>
    <w:p w:rsidR="00646C05" w:rsidRPr="00BF37B1" w:rsidRDefault="00646C05">
      <w:pPr>
        <w:spacing w:before="120" w:after="120"/>
        <w:jc w:val="center"/>
        <w:rPr>
          <w:rFonts w:ascii="Calibri" w:hAnsi="Calibri"/>
          <w:sz w:val="22"/>
          <w:szCs w:val="22"/>
        </w:rPr>
        <w:sectPr w:rsidR="00646C05" w:rsidRPr="00BF37B1" w:rsidSect="00CE0E84">
          <w:headerReference w:type="even" r:id="rId7"/>
          <w:headerReference w:type="default" r:id="rId8"/>
          <w:pgSz w:w="11909" w:h="16834" w:code="9"/>
          <w:pgMar w:top="1440" w:right="1440" w:bottom="1440" w:left="1440" w:header="432" w:footer="720" w:gutter="0"/>
          <w:paperSrc w:first="15" w:other="15"/>
          <w:cols w:space="720"/>
          <w:docGrid w:linePitch="326"/>
        </w:sectPr>
      </w:pPr>
    </w:p>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564"/>
      </w:tblGrid>
      <w:tr w:rsidR="00CB6A57" w:rsidTr="000A33A0">
        <w:trPr>
          <w:tblHeader/>
        </w:trPr>
        <w:tc>
          <w:tcPr>
            <w:tcW w:w="14564" w:type="dxa"/>
            <w:shd w:val="clear" w:color="auto" w:fill="DBE5F1"/>
          </w:tcPr>
          <w:p w:rsidR="00CB6A57" w:rsidRPr="000A33A0" w:rsidRDefault="00CB6A57">
            <w:pPr>
              <w:spacing w:before="120" w:after="120"/>
              <w:jc w:val="center"/>
              <w:rPr>
                <w:rFonts w:ascii="Calibri" w:hAnsi="Calibri"/>
                <w:b/>
                <w:sz w:val="20"/>
              </w:rPr>
            </w:pPr>
            <w:r w:rsidRPr="000A33A0">
              <w:rPr>
                <w:rFonts w:ascii="Calibri" w:hAnsi="Calibri"/>
                <w:b/>
                <w:sz w:val="20"/>
              </w:rPr>
              <w:t>Individual Action Plan Update for [Economy] for [Year/s]</w:t>
            </w:r>
            <w:r w:rsidR="00F64B41" w:rsidRPr="000A33A0">
              <w:rPr>
                <w:rFonts w:ascii="Calibri" w:hAnsi="Calibri"/>
                <w:b/>
                <w:sz w:val="20"/>
              </w:rPr>
              <w:fldChar w:fldCharType="begin" w:fldLock="1">
                <w:ffData>
                  <w:name w:val="Text30"/>
                  <w:enabled/>
                  <w:calcOnExit w:val="0"/>
                  <w:textInput>
                    <w:default w:val="{Year}"/>
                  </w:textInput>
                </w:ffData>
              </w:fldChar>
            </w:r>
            <w:r w:rsidRPr="000A33A0">
              <w:rPr>
                <w:rFonts w:ascii="Calibri" w:hAnsi="Calibri"/>
                <w:b/>
                <w:sz w:val="20"/>
              </w:rPr>
              <w:instrText xml:space="preserve"> FORMTEXT </w:instrText>
            </w:r>
            <w:r w:rsidR="00F64B41" w:rsidRPr="000A33A0">
              <w:rPr>
                <w:rFonts w:ascii="Calibri" w:hAnsi="Calibri"/>
                <w:b/>
                <w:sz w:val="20"/>
              </w:rPr>
            </w:r>
            <w:r w:rsidR="00F64B41" w:rsidRPr="000A33A0">
              <w:rPr>
                <w:rFonts w:ascii="Calibri" w:hAnsi="Calibri"/>
                <w:b/>
                <w:sz w:val="20"/>
              </w:rPr>
              <w:fldChar w:fldCharType="end"/>
            </w:r>
          </w:p>
        </w:tc>
      </w:tr>
      <w:tr w:rsidR="00CB6A57">
        <w:trPr>
          <w:tblHeader/>
        </w:trPr>
        <w:tc>
          <w:tcPr>
            <w:tcW w:w="14564" w:type="dxa"/>
          </w:tcPr>
          <w:p w:rsidR="00CB6A57" w:rsidRPr="00BF37B1" w:rsidRDefault="00CB6A57">
            <w:pPr>
              <w:spacing w:before="120" w:after="120"/>
              <w:jc w:val="both"/>
              <w:rPr>
                <w:rFonts w:ascii="Calibri" w:hAnsi="Calibri"/>
                <w:b/>
                <w:i/>
                <w:sz w:val="20"/>
              </w:rPr>
            </w:pPr>
            <w:r w:rsidRPr="00BF37B1">
              <w:rPr>
                <w:rFonts w:ascii="Calibri" w:hAnsi="Calibri"/>
                <w:b/>
                <w:i/>
                <w:sz w:val="20"/>
              </w:rPr>
              <w:br/>
            </w:r>
            <w:bookmarkStart w:id="0" w:name="Highlights"/>
            <w:bookmarkEnd w:id="0"/>
            <w:r w:rsidRPr="00BF37B1">
              <w:rPr>
                <w:rFonts w:ascii="Calibri" w:hAnsi="Calibri"/>
                <w:b/>
                <w:i/>
                <w:sz w:val="20"/>
              </w:rPr>
              <w:t xml:space="preserve">Highlights of recent policy developments which indicate how [economy] is progressing towards the Bogor Goals and key challenges it faces in its efforts to meet the Goals. </w:t>
            </w:r>
          </w:p>
        </w:tc>
      </w:tr>
      <w:tr w:rsidR="00CB6A57">
        <w:trPr>
          <w:tblHeader/>
        </w:trPr>
        <w:tc>
          <w:tcPr>
            <w:tcW w:w="14564" w:type="dxa"/>
          </w:tcPr>
          <w:p w:rsidR="00CB6A57" w:rsidRPr="00BF37B1" w:rsidRDefault="00CB6A57">
            <w:pPr>
              <w:spacing w:before="120" w:after="120"/>
              <w:rPr>
                <w:rFonts w:ascii="Calibri" w:hAnsi="Calibri"/>
                <w:bCs/>
                <w:i/>
                <w:sz w:val="20"/>
              </w:rPr>
            </w:pPr>
            <w:r w:rsidRPr="00BF37B1">
              <w:rPr>
                <w:rFonts w:ascii="Calibri" w:hAnsi="Calibri"/>
                <w:bCs/>
                <w:i/>
                <w:sz w:val="20"/>
              </w:rPr>
              <w:br/>
            </w:r>
            <w:r w:rsidRPr="00BF37B1">
              <w:rPr>
                <w:rFonts w:ascii="Calibri" w:hAnsi="Calibri"/>
                <w:bCs/>
                <w:i/>
                <w:sz w:val="20"/>
              </w:rPr>
              <w:br/>
            </w: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CB6A57" w:rsidRPr="000A33A0" w:rsidTr="000A33A0">
        <w:trPr>
          <w:tblHeader/>
        </w:trPr>
        <w:tc>
          <w:tcPr>
            <w:tcW w:w="3524" w:type="dxa"/>
            <w:shd w:val="clear" w:color="auto" w:fill="C6D9F1"/>
          </w:tcPr>
          <w:p w:rsidR="00CB6A57" w:rsidRPr="000A33A0" w:rsidRDefault="00CB6A57">
            <w:pPr>
              <w:pStyle w:val="Subtitle"/>
              <w:spacing w:before="60" w:after="60"/>
              <w:jc w:val="center"/>
              <w:rPr>
                <w:rFonts w:ascii="Calibri" w:hAnsi="Calibri"/>
                <w:sz w:val="20"/>
              </w:rPr>
            </w:pPr>
            <w:r w:rsidRPr="000A33A0">
              <w:rPr>
                <w:rFonts w:ascii="Calibri" w:hAnsi="Calibri"/>
                <w:sz w:val="20"/>
              </w:rPr>
              <w:t>IAP Chapter (and Sub-Chapter and Section Heading, if any)</w:t>
            </w:r>
          </w:p>
        </w:tc>
        <w:tc>
          <w:tcPr>
            <w:tcW w:w="5387" w:type="dxa"/>
            <w:shd w:val="clear" w:color="auto" w:fill="C6D9F1"/>
          </w:tcPr>
          <w:p w:rsidR="00CB6A57" w:rsidRPr="000A33A0" w:rsidRDefault="00CB6A57">
            <w:pPr>
              <w:spacing w:before="60" w:after="60"/>
              <w:jc w:val="center"/>
              <w:rPr>
                <w:rFonts w:ascii="Calibri" w:hAnsi="Calibri"/>
                <w:b/>
                <w:sz w:val="20"/>
                <w:vertAlign w:val="superscript"/>
                <w:lang w:eastAsia="zh-TW"/>
              </w:rPr>
            </w:pPr>
            <w:r w:rsidRPr="000A33A0">
              <w:rPr>
                <w:rFonts w:ascii="Calibri" w:hAnsi="Calibri"/>
                <w:b/>
                <w:sz w:val="20"/>
              </w:rPr>
              <w:t xml:space="preserve">Improvements made since </w:t>
            </w:r>
            <w:r w:rsidRPr="000A33A0">
              <w:rPr>
                <w:rFonts w:ascii="Calibri" w:hAnsi="Calibri"/>
                <w:b/>
                <w:sz w:val="20"/>
                <w:lang w:eastAsia="zh-TW"/>
              </w:rPr>
              <w:t xml:space="preserve"> [Year]</w:t>
            </w:r>
            <w:r w:rsidRPr="000A33A0">
              <w:rPr>
                <w:rFonts w:ascii="Calibri" w:hAnsi="Calibri"/>
                <w:b/>
                <w:sz w:val="20"/>
              </w:rPr>
              <w:t xml:space="preserve"> IAP </w:t>
            </w:r>
          </w:p>
        </w:tc>
        <w:tc>
          <w:tcPr>
            <w:tcW w:w="5670" w:type="dxa"/>
            <w:shd w:val="clear" w:color="auto" w:fill="C6D9F1"/>
          </w:tcPr>
          <w:p w:rsidR="00CB6A57" w:rsidRPr="000A33A0" w:rsidRDefault="00CB6A57">
            <w:pPr>
              <w:spacing w:before="60" w:after="60"/>
              <w:jc w:val="center"/>
              <w:rPr>
                <w:rFonts w:ascii="Calibri" w:hAnsi="Calibri"/>
                <w:b/>
                <w:sz w:val="20"/>
              </w:rPr>
            </w:pPr>
            <w:r w:rsidRPr="000A33A0">
              <w:rPr>
                <w:rFonts w:ascii="Calibri" w:hAnsi="Calibri"/>
                <w:b/>
                <w:sz w:val="20"/>
              </w:rPr>
              <w:t>Further Improvements Planned</w:t>
            </w:r>
          </w:p>
        </w:tc>
      </w:tr>
      <w:tr w:rsidR="00CB6A57">
        <w:trPr>
          <w:trHeight w:val="648"/>
        </w:trPr>
        <w:tc>
          <w:tcPr>
            <w:tcW w:w="3524" w:type="dxa"/>
          </w:tcPr>
          <w:p w:rsidR="00CB6A57" w:rsidRPr="00BF37B1" w:rsidRDefault="00CB6A57">
            <w:pPr>
              <w:pStyle w:val="Heading9"/>
              <w:rPr>
                <w:rFonts w:ascii="Calibri" w:hAnsi="Calibri"/>
              </w:rPr>
            </w:pPr>
            <w:bookmarkStart w:id="1" w:name="Row01"/>
            <w:r w:rsidRPr="00BF37B1">
              <w:rPr>
                <w:rFonts w:ascii="Calibri" w:hAnsi="Calibri"/>
              </w:rPr>
              <w:t>Tariffs</w:t>
            </w:r>
            <w:bookmarkEnd w:id="1"/>
          </w:p>
        </w:tc>
        <w:tc>
          <w:tcPr>
            <w:tcW w:w="5387" w:type="dxa"/>
          </w:tcPr>
          <w:p w:rsidR="00DD365C" w:rsidRPr="00063155" w:rsidRDefault="00DD365C" w:rsidP="00DD365C">
            <w:pPr>
              <w:rPr>
                <w:rFonts w:asciiTheme="minorHAnsi" w:hAnsiTheme="minorHAnsi" w:cs="Arial"/>
                <w:i/>
                <w:sz w:val="20"/>
              </w:rPr>
            </w:pPr>
            <w:bookmarkStart w:id="2" w:name="Cell01"/>
            <w:bookmarkEnd w:id="2"/>
            <w:r w:rsidRPr="00063155">
              <w:rPr>
                <w:rFonts w:asciiTheme="minorHAnsi" w:hAnsiTheme="minorHAnsi" w:cs="Arial"/>
                <w:i/>
                <w:sz w:val="20"/>
              </w:rPr>
              <w:t>Elimination and reduction of import duty from 2008 to 2012</w:t>
            </w:r>
          </w:p>
          <w:tbl>
            <w:tblPr>
              <w:tblW w:w="4840" w:type="dxa"/>
              <w:tblLayout w:type="fixed"/>
              <w:tblLook w:val="04A0"/>
            </w:tblPr>
            <w:tblGrid>
              <w:gridCol w:w="1360"/>
              <w:gridCol w:w="1240"/>
              <w:gridCol w:w="2240"/>
            </w:tblGrid>
            <w:tr w:rsidR="00DD365C" w:rsidRPr="00063155" w:rsidTr="00EB5FFA">
              <w:trPr>
                <w:trHeight w:val="315"/>
              </w:trPr>
              <w:tc>
                <w:tcPr>
                  <w:tcW w:w="136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b/>
                      <w:bCs/>
                      <w:i/>
                      <w:sz w:val="20"/>
                      <w:u w:val="single"/>
                      <w:lang w:val="en-US"/>
                    </w:rPr>
                  </w:pPr>
                  <w:r w:rsidRPr="00063155">
                    <w:rPr>
                      <w:rFonts w:ascii="Cambria" w:eastAsia="Times New Roman" w:hAnsi="Cambria"/>
                      <w:b/>
                      <w:bCs/>
                      <w:i/>
                      <w:sz w:val="20"/>
                      <w:u w:val="single"/>
                      <w:lang w:val="en-US"/>
                    </w:rPr>
                    <w:t>Year</w:t>
                  </w:r>
                </w:p>
              </w:tc>
              <w:tc>
                <w:tcPr>
                  <w:tcW w:w="1240" w:type="dxa"/>
                  <w:tcBorders>
                    <w:top w:val="nil"/>
                    <w:left w:val="nil"/>
                    <w:bottom w:val="nil"/>
                    <w:right w:val="nil"/>
                  </w:tcBorders>
                  <w:shd w:val="clear" w:color="auto" w:fill="auto"/>
                  <w:noWrap/>
                  <w:vAlign w:val="center"/>
                  <w:hideMark/>
                </w:tcPr>
                <w:p w:rsidR="00DD365C" w:rsidRPr="00063155" w:rsidRDefault="00DD365C" w:rsidP="00EB5FFA">
                  <w:pPr>
                    <w:rPr>
                      <w:rFonts w:ascii="Cambria" w:eastAsia="Times New Roman" w:hAnsi="Cambria"/>
                      <w:b/>
                      <w:bCs/>
                      <w:i/>
                      <w:sz w:val="20"/>
                      <w:u w:val="single"/>
                      <w:lang w:val="en-US"/>
                    </w:rPr>
                  </w:pPr>
                </w:p>
              </w:tc>
              <w:tc>
                <w:tcPr>
                  <w:tcW w:w="2240" w:type="dxa"/>
                  <w:tcBorders>
                    <w:top w:val="nil"/>
                    <w:left w:val="nil"/>
                    <w:bottom w:val="nil"/>
                    <w:right w:val="nil"/>
                  </w:tcBorders>
                  <w:shd w:val="clear" w:color="auto" w:fill="auto"/>
                  <w:vAlign w:val="center"/>
                  <w:hideMark/>
                </w:tcPr>
                <w:p w:rsidR="00DD365C" w:rsidRPr="00063155" w:rsidRDefault="00DD365C" w:rsidP="00EB5FFA">
                  <w:pPr>
                    <w:jc w:val="center"/>
                    <w:rPr>
                      <w:rFonts w:ascii="Cambria" w:eastAsia="Times New Roman" w:hAnsi="Cambria"/>
                      <w:b/>
                      <w:bCs/>
                      <w:i/>
                      <w:sz w:val="20"/>
                      <w:u w:val="single"/>
                      <w:lang w:val="en-US"/>
                    </w:rPr>
                  </w:pPr>
                  <w:r w:rsidRPr="00063155">
                    <w:rPr>
                      <w:rFonts w:ascii="Cambria" w:eastAsia="Times New Roman" w:hAnsi="Cambria"/>
                      <w:b/>
                      <w:bCs/>
                      <w:i/>
                      <w:sz w:val="20"/>
                      <w:u w:val="single"/>
                      <w:lang w:val="en-US"/>
                    </w:rPr>
                    <w:t>Tariff lines</w:t>
                  </w:r>
                </w:p>
              </w:tc>
            </w:tr>
            <w:tr w:rsidR="00DD365C" w:rsidRPr="00063155" w:rsidTr="00EB5FFA">
              <w:trPr>
                <w:trHeight w:val="315"/>
              </w:trPr>
              <w:tc>
                <w:tcPr>
                  <w:tcW w:w="136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2008</w:t>
                  </w:r>
                </w:p>
              </w:tc>
              <w:tc>
                <w:tcPr>
                  <w:tcW w:w="1240" w:type="dxa"/>
                  <w:tcBorders>
                    <w:top w:val="nil"/>
                    <w:left w:val="nil"/>
                    <w:bottom w:val="nil"/>
                    <w:right w:val="nil"/>
                  </w:tcBorders>
                  <w:shd w:val="clear" w:color="auto" w:fill="auto"/>
                  <w:noWrap/>
                  <w:vAlign w:val="bottom"/>
                  <w:hideMark/>
                </w:tcPr>
                <w:p w:rsidR="00DD365C" w:rsidRPr="00063155" w:rsidRDefault="00DD365C" w:rsidP="00EB5FFA">
                  <w:pPr>
                    <w:rPr>
                      <w:rFonts w:ascii="Cambria" w:eastAsia="Times New Roman" w:hAnsi="Cambria"/>
                      <w:i/>
                      <w:sz w:val="20"/>
                      <w:lang w:val="en-US"/>
                    </w:rPr>
                  </w:pPr>
                </w:p>
              </w:tc>
              <w:tc>
                <w:tcPr>
                  <w:tcW w:w="2240" w:type="dxa"/>
                  <w:tcBorders>
                    <w:top w:val="nil"/>
                    <w:left w:val="nil"/>
                    <w:bottom w:val="nil"/>
                    <w:right w:val="nil"/>
                  </w:tcBorders>
                  <w:shd w:val="clear" w:color="auto" w:fill="auto"/>
                  <w:noWrap/>
                  <w:vAlign w:val="bottom"/>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449</w:t>
                  </w:r>
                </w:p>
              </w:tc>
            </w:tr>
            <w:tr w:rsidR="00DD365C" w:rsidRPr="00063155" w:rsidTr="00EB5FFA">
              <w:trPr>
                <w:trHeight w:val="315"/>
              </w:trPr>
              <w:tc>
                <w:tcPr>
                  <w:tcW w:w="136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2009</w:t>
                  </w:r>
                </w:p>
              </w:tc>
              <w:tc>
                <w:tcPr>
                  <w:tcW w:w="1240" w:type="dxa"/>
                  <w:tcBorders>
                    <w:top w:val="nil"/>
                    <w:left w:val="nil"/>
                    <w:bottom w:val="nil"/>
                    <w:right w:val="nil"/>
                  </w:tcBorders>
                  <w:shd w:val="clear" w:color="auto" w:fill="auto"/>
                  <w:noWrap/>
                  <w:vAlign w:val="bottom"/>
                  <w:hideMark/>
                </w:tcPr>
                <w:p w:rsidR="00DD365C" w:rsidRPr="00063155" w:rsidRDefault="00DD365C" w:rsidP="00EB5FFA">
                  <w:pPr>
                    <w:rPr>
                      <w:rFonts w:ascii="Cambria" w:eastAsia="Times New Roman" w:hAnsi="Cambria"/>
                      <w:i/>
                      <w:sz w:val="20"/>
                      <w:lang w:val="en-US"/>
                    </w:rPr>
                  </w:pPr>
                </w:p>
              </w:tc>
              <w:tc>
                <w:tcPr>
                  <w:tcW w:w="2240" w:type="dxa"/>
                  <w:tcBorders>
                    <w:top w:val="nil"/>
                    <w:left w:val="nil"/>
                    <w:bottom w:val="nil"/>
                    <w:right w:val="nil"/>
                  </w:tcBorders>
                  <w:shd w:val="clear" w:color="auto" w:fill="auto"/>
                  <w:noWrap/>
                  <w:vAlign w:val="bottom"/>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361</w:t>
                  </w:r>
                </w:p>
              </w:tc>
            </w:tr>
            <w:tr w:rsidR="00DD365C" w:rsidRPr="00063155" w:rsidTr="00EB5FFA">
              <w:trPr>
                <w:trHeight w:val="315"/>
              </w:trPr>
              <w:tc>
                <w:tcPr>
                  <w:tcW w:w="136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2010</w:t>
                  </w:r>
                </w:p>
              </w:tc>
              <w:tc>
                <w:tcPr>
                  <w:tcW w:w="1240" w:type="dxa"/>
                  <w:tcBorders>
                    <w:top w:val="nil"/>
                    <w:left w:val="nil"/>
                    <w:bottom w:val="nil"/>
                    <w:right w:val="nil"/>
                  </w:tcBorders>
                  <w:shd w:val="clear" w:color="auto" w:fill="auto"/>
                  <w:noWrap/>
                  <w:vAlign w:val="bottom"/>
                  <w:hideMark/>
                </w:tcPr>
                <w:p w:rsidR="00DD365C" w:rsidRPr="00063155" w:rsidRDefault="00DD365C" w:rsidP="00EB5FFA">
                  <w:pPr>
                    <w:rPr>
                      <w:rFonts w:ascii="Cambria" w:eastAsia="Times New Roman" w:hAnsi="Cambria"/>
                      <w:i/>
                      <w:sz w:val="20"/>
                      <w:lang w:val="en-US"/>
                    </w:rPr>
                  </w:pPr>
                </w:p>
              </w:tc>
              <w:tc>
                <w:tcPr>
                  <w:tcW w:w="2240" w:type="dxa"/>
                  <w:tcBorders>
                    <w:top w:val="nil"/>
                    <w:left w:val="nil"/>
                    <w:bottom w:val="nil"/>
                    <w:right w:val="nil"/>
                  </w:tcBorders>
                  <w:shd w:val="clear" w:color="auto" w:fill="auto"/>
                  <w:noWrap/>
                  <w:vAlign w:val="bottom"/>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473</w:t>
                  </w:r>
                </w:p>
              </w:tc>
            </w:tr>
            <w:tr w:rsidR="00DD365C" w:rsidRPr="00063155" w:rsidTr="00EB5FFA">
              <w:trPr>
                <w:trHeight w:val="315"/>
              </w:trPr>
              <w:tc>
                <w:tcPr>
                  <w:tcW w:w="136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2011</w:t>
                  </w:r>
                </w:p>
              </w:tc>
              <w:tc>
                <w:tcPr>
                  <w:tcW w:w="1240" w:type="dxa"/>
                  <w:tcBorders>
                    <w:top w:val="nil"/>
                    <w:left w:val="nil"/>
                    <w:bottom w:val="nil"/>
                    <w:right w:val="nil"/>
                  </w:tcBorders>
                  <w:shd w:val="clear" w:color="auto" w:fill="auto"/>
                  <w:noWrap/>
                  <w:vAlign w:val="bottom"/>
                  <w:hideMark/>
                </w:tcPr>
                <w:p w:rsidR="00DD365C" w:rsidRPr="00063155" w:rsidRDefault="00DD365C" w:rsidP="00EB5FFA">
                  <w:pPr>
                    <w:rPr>
                      <w:rFonts w:ascii="Cambria" w:eastAsia="Times New Roman" w:hAnsi="Cambria"/>
                      <w:i/>
                      <w:sz w:val="20"/>
                      <w:lang w:val="en-US"/>
                    </w:rPr>
                  </w:pPr>
                </w:p>
              </w:tc>
              <w:tc>
                <w:tcPr>
                  <w:tcW w:w="224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 xml:space="preserve"> - </w:t>
                  </w:r>
                </w:p>
              </w:tc>
            </w:tr>
            <w:tr w:rsidR="00DD365C" w:rsidRPr="00063155" w:rsidTr="00EB5FFA">
              <w:trPr>
                <w:trHeight w:val="315"/>
              </w:trPr>
              <w:tc>
                <w:tcPr>
                  <w:tcW w:w="136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2012</w:t>
                  </w:r>
                </w:p>
              </w:tc>
              <w:tc>
                <w:tcPr>
                  <w:tcW w:w="1240" w:type="dxa"/>
                  <w:tcBorders>
                    <w:top w:val="nil"/>
                    <w:left w:val="nil"/>
                    <w:bottom w:val="nil"/>
                    <w:right w:val="nil"/>
                  </w:tcBorders>
                  <w:shd w:val="clear" w:color="auto" w:fill="auto"/>
                  <w:noWrap/>
                  <w:vAlign w:val="bottom"/>
                  <w:hideMark/>
                </w:tcPr>
                <w:p w:rsidR="00DD365C" w:rsidRPr="00063155" w:rsidRDefault="00DD365C" w:rsidP="00EB5FFA">
                  <w:pPr>
                    <w:rPr>
                      <w:rFonts w:ascii="Cambria" w:eastAsia="Times New Roman" w:hAnsi="Cambria"/>
                      <w:i/>
                      <w:sz w:val="20"/>
                      <w:lang w:val="en-US"/>
                    </w:rPr>
                  </w:pPr>
                </w:p>
              </w:tc>
              <w:tc>
                <w:tcPr>
                  <w:tcW w:w="2240" w:type="dxa"/>
                  <w:tcBorders>
                    <w:top w:val="nil"/>
                    <w:left w:val="nil"/>
                    <w:bottom w:val="nil"/>
                    <w:right w:val="nil"/>
                  </w:tcBorders>
                  <w:shd w:val="clear" w:color="auto" w:fill="auto"/>
                  <w:noWrap/>
                  <w:vAlign w:val="bottom"/>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265</w:t>
                  </w:r>
                </w:p>
              </w:tc>
            </w:tr>
          </w:tbl>
          <w:p w:rsidR="00DD365C" w:rsidRPr="00063155" w:rsidRDefault="00DD365C" w:rsidP="00DD365C">
            <w:pPr>
              <w:rPr>
                <w:i/>
              </w:rPr>
            </w:pPr>
          </w:p>
          <w:p w:rsidR="00DD365C" w:rsidRPr="00063155" w:rsidRDefault="00DD365C" w:rsidP="00DD365C">
            <w:pPr>
              <w:rPr>
                <w:rFonts w:asciiTheme="minorHAnsi" w:hAnsiTheme="minorHAnsi" w:cs="Arial"/>
                <w:i/>
                <w:sz w:val="20"/>
              </w:rPr>
            </w:pPr>
            <w:r w:rsidRPr="00063155">
              <w:rPr>
                <w:rFonts w:asciiTheme="minorHAnsi" w:hAnsiTheme="minorHAnsi" w:cs="Arial"/>
                <w:i/>
                <w:sz w:val="20"/>
              </w:rPr>
              <w:t xml:space="preserve">Malaysia has implemented Free Trade Agreements (FTAs) with 7 countries (India, Pakistan, </w:t>
            </w:r>
            <w:proofErr w:type="spellStart"/>
            <w:r w:rsidRPr="00063155">
              <w:rPr>
                <w:rFonts w:asciiTheme="minorHAnsi" w:hAnsiTheme="minorHAnsi" w:cs="Arial"/>
                <w:i/>
                <w:sz w:val="20"/>
              </w:rPr>
              <w:t>Jepun</w:t>
            </w:r>
            <w:proofErr w:type="spellEnd"/>
            <w:r w:rsidRPr="00063155">
              <w:rPr>
                <w:rFonts w:asciiTheme="minorHAnsi" w:hAnsiTheme="minorHAnsi" w:cs="Arial"/>
                <w:i/>
                <w:sz w:val="20"/>
              </w:rPr>
              <w:t>, Korea, Australia-New Zealand, China)</w:t>
            </w:r>
          </w:p>
          <w:p w:rsidR="00C52482" w:rsidRPr="00063155" w:rsidRDefault="00C52482" w:rsidP="0001261C">
            <w:pPr>
              <w:rPr>
                <w:rFonts w:ascii="Calibri" w:hAnsi="Calibri" w:cs="Arial"/>
                <w:i/>
                <w:sz w:val="20"/>
              </w:rPr>
            </w:pPr>
          </w:p>
        </w:tc>
        <w:tc>
          <w:tcPr>
            <w:tcW w:w="5670" w:type="dxa"/>
          </w:tcPr>
          <w:p w:rsidR="00C52482" w:rsidRPr="00063155" w:rsidRDefault="001F22A2" w:rsidP="009E28DA">
            <w:pPr>
              <w:rPr>
                <w:rFonts w:ascii="Calibri" w:hAnsi="Calibri" w:cs="Arial"/>
                <w:i/>
                <w:sz w:val="20"/>
              </w:rPr>
            </w:pPr>
            <w:bookmarkStart w:id="3" w:name="Cell02"/>
            <w:bookmarkEnd w:id="3"/>
            <w:r w:rsidRPr="00063155">
              <w:rPr>
                <w:rFonts w:ascii="Calibri" w:hAnsi="Calibri" w:cs="Arial"/>
                <w:i/>
                <w:sz w:val="20"/>
              </w:rPr>
              <w:t>Provide brief points only</w:t>
            </w:r>
          </w:p>
        </w:tc>
      </w:tr>
      <w:tr w:rsidR="00C52482" w:rsidRPr="009E28DA" w:rsidTr="009E28DA">
        <w:trPr>
          <w:trHeight w:val="212"/>
        </w:trPr>
        <w:tc>
          <w:tcPr>
            <w:tcW w:w="3524" w:type="dxa"/>
          </w:tcPr>
          <w:p w:rsidR="00C52482" w:rsidRPr="00BF37B1" w:rsidRDefault="00C52482">
            <w:pPr>
              <w:pStyle w:val="Heading9"/>
              <w:rPr>
                <w:rFonts w:ascii="Calibri" w:hAnsi="Calibri"/>
                <w:color w:val="808080"/>
              </w:rPr>
            </w:pPr>
            <w:r w:rsidRPr="00BF37B1">
              <w:rPr>
                <w:rFonts w:ascii="Calibri" w:hAnsi="Calibri"/>
                <w:b w:val="0"/>
                <w:color w:val="808080"/>
              </w:rPr>
              <w:t xml:space="preserve">Website for further information:  </w:t>
            </w:r>
          </w:p>
        </w:tc>
        <w:tc>
          <w:tcPr>
            <w:tcW w:w="5387" w:type="dxa"/>
          </w:tcPr>
          <w:p w:rsidR="00C52482" w:rsidRPr="00063155" w:rsidRDefault="00DD365C">
            <w:pPr>
              <w:rPr>
                <w:rFonts w:ascii="Calibri" w:hAnsi="Calibri" w:cs="Arial"/>
                <w:i/>
                <w:sz w:val="20"/>
              </w:rPr>
            </w:pPr>
            <w:r w:rsidRPr="00063155">
              <w:rPr>
                <w:rFonts w:asciiTheme="minorHAnsi" w:hAnsiTheme="minorHAnsi" w:cs="Arial"/>
                <w:i/>
                <w:sz w:val="20"/>
              </w:rPr>
              <w:t>www.customs.gov.my</w:t>
            </w:r>
          </w:p>
        </w:tc>
        <w:tc>
          <w:tcPr>
            <w:tcW w:w="5670" w:type="dxa"/>
          </w:tcPr>
          <w:p w:rsidR="00C52482" w:rsidRPr="00063155" w:rsidRDefault="00C52482">
            <w:pPr>
              <w:rPr>
                <w:rFonts w:ascii="Calibri" w:hAnsi="Calibri" w:cs="Arial"/>
                <w:i/>
                <w:sz w:val="20"/>
              </w:rPr>
            </w:pPr>
          </w:p>
        </w:tc>
      </w:tr>
      <w:tr w:rsidR="00C52482" w:rsidRPr="009E28DA" w:rsidTr="009E28DA">
        <w:trPr>
          <w:trHeight w:val="230"/>
        </w:trPr>
        <w:tc>
          <w:tcPr>
            <w:tcW w:w="3524" w:type="dxa"/>
          </w:tcPr>
          <w:p w:rsidR="00C52482" w:rsidRPr="00BF37B1" w:rsidRDefault="00C52482">
            <w:pPr>
              <w:pStyle w:val="Heading9"/>
              <w:rPr>
                <w:rFonts w:ascii="Calibri" w:hAnsi="Calibri"/>
                <w:color w:val="808080"/>
              </w:rPr>
            </w:pPr>
            <w:r w:rsidRPr="00BF37B1">
              <w:rPr>
                <w:rFonts w:ascii="Calibri" w:hAnsi="Calibri"/>
                <w:b w:val="0"/>
                <w:color w:val="808080"/>
              </w:rPr>
              <w:t>Contact point for further details:</w:t>
            </w:r>
          </w:p>
        </w:tc>
        <w:tc>
          <w:tcPr>
            <w:tcW w:w="5387" w:type="dxa"/>
          </w:tcPr>
          <w:p w:rsidR="00C52482" w:rsidRPr="00063155" w:rsidRDefault="00DD365C">
            <w:pPr>
              <w:rPr>
                <w:rFonts w:ascii="Calibri" w:hAnsi="Calibri" w:cs="Arial"/>
                <w:i/>
                <w:sz w:val="20"/>
              </w:rPr>
            </w:pPr>
            <w:r w:rsidRPr="00063155">
              <w:rPr>
                <w:rFonts w:asciiTheme="minorHAnsi" w:hAnsiTheme="minorHAnsi" w:cs="Arial"/>
                <w:i/>
                <w:sz w:val="20"/>
              </w:rPr>
              <w:t xml:space="preserve">Abdul </w:t>
            </w:r>
            <w:proofErr w:type="spellStart"/>
            <w:r w:rsidRPr="00063155">
              <w:rPr>
                <w:rFonts w:asciiTheme="minorHAnsi" w:hAnsiTheme="minorHAnsi" w:cs="Arial"/>
                <w:i/>
                <w:sz w:val="20"/>
              </w:rPr>
              <w:t>Ghani</w:t>
            </w:r>
            <w:proofErr w:type="spellEnd"/>
            <w:r w:rsidRPr="00063155">
              <w:rPr>
                <w:rFonts w:asciiTheme="minorHAnsi" w:hAnsiTheme="minorHAnsi" w:cs="Arial"/>
                <w:i/>
                <w:sz w:val="20"/>
              </w:rPr>
              <w:t xml:space="preserve"> B </w:t>
            </w:r>
            <w:proofErr w:type="spellStart"/>
            <w:r w:rsidRPr="00063155">
              <w:rPr>
                <w:rFonts w:asciiTheme="minorHAnsi" w:hAnsiTheme="minorHAnsi" w:cs="Arial"/>
                <w:i/>
                <w:sz w:val="20"/>
              </w:rPr>
              <w:t>Saruji</w:t>
            </w:r>
            <w:proofErr w:type="spellEnd"/>
            <w:r w:rsidRPr="00063155">
              <w:rPr>
                <w:rFonts w:asciiTheme="minorHAnsi" w:hAnsiTheme="minorHAnsi" w:cs="Arial"/>
                <w:i/>
                <w:sz w:val="20"/>
              </w:rPr>
              <w:t xml:space="preserve"> (ghani.saruji@customs.gov.my)</w:t>
            </w:r>
          </w:p>
        </w:tc>
        <w:tc>
          <w:tcPr>
            <w:tcW w:w="5670" w:type="dxa"/>
          </w:tcPr>
          <w:p w:rsidR="00C52482" w:rsidRPr="00063155" w:rsidRDefault="00C52482">
            <w:pPr>
              <w:rPr>
                <w:rFonts w:ascii="Calibri" w:hAnsi="Calibri" w:cs="Arial"/>
                <w:i/>
                <w:sz w:val="20"/>
              </w:rPr>
            </w:pPr>
          </w:p>
        </w:tc>
      </w:tr>
      <w:tr w:rsidR="001F22A2">
        <w:trPr>
          <w:trHeight w:val="627"/>
        </w:trPr>
        <w:tc>
          <w:tcPr>
            <w:tcW w:w="3524" w:type="dxa"/>
          </w:tcPr>
          <w:p w:rsidR="001F22A2" w:rsidRPr="00BF37B1" w:rsidRDefault="001F22A2">
            <w:pPr>
              <w:rPr>
                <w:rFonts w:ascii="Calibri" w:hAnsi="Calibri"/>
                <w:b/>
                <w:i/>
                <w:sz w:val="20"/>
              </w:rPr>
            </w:pPr>
            <w:bookmarkStart w:id="4" w:name="Row2"/>
            <w:r w:rsidRPr="00BF37B1">
              <w:rPr>
                <w:rFonts w:ascii="Calibri" w:hAnsi="Calibri"/>
                <w:b/>
                <w:i/>
                <w:sz w:val="20"/>
              </w:rPr>
              <w:t>Non-Tariff Measures</w:t>
            </w:r>
            <w:bookmarkEnd w:id="4"/>
          </w:p>
        </w:tc>
        <w:tc>
          <w:tcPr>
            <w:tcW w:w="5387" w:type="dxa"/>
          </w:tcPr>
          <w:p w:rsidR="00DD365C" w:rsidRPr="00063155" w:rsidRDefault="00DD365C" w:rsidP="00DD365C">
            <w:pPr>
              <w:rPr>
                <w:rFonts w:asciiTheme="minorHAnsi" w:hAnsiTheme="minorHAnsi"/>
                <w:i/>
                <w:sz w:val="20"/>
              </w:rPr>
            </w:pPr>
            <w:bookmarkStart w:id="5" w:name="Cell03"/>
            <w:bookmarkEnd w:id="5"/>
            <w:r w:rsidRPr="00063155">
              <w:rPr>
                <w:rFonts w:asciiTheme="minorHAnsi" w:hAnsiTheme="minorHAnsi"/>
                <w:i/>
                <w:sz w:val="20"/>
              </w:rPr>
              <w:t>Removal of import licensing requirement from 2008 to 2012</w:t>
            </w:r>
          </w:p>
          <w:tbl>
            <w:tblPr>
              <w:tblW w:w="4840" w:type="dxa"/>
              <w:tblLayout w:type="fixed"/>
              <w:tblLook w:val="04A0"/>
            </w:tblPr>
            <w:tblGrid>
              <w:gridCol w:w="1360"/>
              <w:gridCol w:w="1240"/>
              <w:gridCol w:w="2240"/>
            </w:tblGrid>
            <w:tr w:rsidR="00DD365C" w:rsidRPr="00063155" w:rsidTr="00EB5FFA">
              <w:trPr>
                <w:trHeight w:val="315"/>
              </w:trPr>
              <w:tc>
                <w:tcPr>
                  <w:tcW w:w="136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b/>
                      <w:bCs/>
                      <w:i/>
                      <w:sz w:val="20"/>
                      <w:u w:val="single"/>
                      <w:lang w:val="en-US"/>
                    </w:rPr>
                  </w:pPr>
                  <w:r w:rsidRPr="00063155">
                    <w:rPr>
                      <w:rFonts w:ascii="Cambria" w:eastAsia="Times New Roman" w:hAnsi="Cambria"/>
                      <w:b/>
                      <w:bCs/>
                      <w:i/>
                      <w:sz w:val="20"/>
                      <w:u w:val="single"/>
                      <w:lang w:val="en-US"/>
                    </w:rPr>
                    <w:t>Year</w:t>
                  </w:r>
                </w:p>
              </w:tc>
              <w:tc>
                <w:tcPr>
                  <w:tcW w:w="1240" w:type="dxa"/>
                  <w:tcBorders>
                    <w:top w:val="nil"/>
                    <w:left w:val="nil"/>
                    <w:bottom w:val="nil"/>
                    <w:right w:val="nil"/>
                  </w:tcBorders>
                  <w:shd w:val="clear" w:color="auto" w:fill="auto"/>
                  <w:noWrap/>
                  <w:vAlign w:val="center"/>
                  <w:hideMark/>
                </w:tcPr>
                <w:p w:rsidR="00DD365C" w:rsidRPr="00063155" w:rsidRDefault="00DD365C" w:rsidP="00EB5FFA">
                  <w:pPr>
                    <w:rPr>
                      <w:rFonts w:ascii="Cambria" w:eastAsia="Times New Roman" w:hAnsi="Cambria"/>
                      <w:b/>
                      <w:bCs/>
                      <w:i/>
                      <w:sz w:val="20"/>
                      <w:u w:val="single"/>
                      <w:lang w:val="en-US"/>
                    </w:rPr>
                  </w:pPr>
                </w:p>
              </w:tc>
              <w:tc>
                <w:tcPr>
                  <w:tcW w:w="2240" w:type="dxa"/>
                  <w:tcBorders>
                    <w:top w:val="nil"/>
                    <w:left w:val="nil"/>
                    <w:bottom w:val="nil"/>
                    <w:right w:val="nil"/>
                  </w:tcBorders>
                  <w:shd w:val="clear" w:color="auto" w:fill="auto"/>
                  <w:vAlign w:val="center"/>
                  <w:hideMark/>
                </w:tcPr>
                <w:p w:rsidR="00DD365C" w:rsidRPr="00063155" w:rsidRDefault="00DD365C" w:rsidP="00EB5FFA">
                  <w:pPr>
                    <w:jc w:val="center"/>
                    <w:rPr>
                      <w:rFonts w:ascii="Cambria" w:eastAsia="Times New Roman" w:hAnsi="Cambria"/>
                      <w:b/>
                      <w:bCs/>
                      <w:i/>
                      <w:sz w:val="20"/>
                      <w:u w:val="single"/>
                      <w:lang w:val="en-US"/>
                    </w:rPr>
                  </w:pPr>
                  <w:r w:rsidRPr="00063155">
                    <w:rPr>
                      <w:rFonts w:ascii="Cambria" w:eastAsia="Times New Roman" w:hAnsi="Cambria"/>
                      <w:b/>
                      <w:bCs/>
                      <w:i/>
                      <w:sz w:val="20"/>
                      <w:u w:val="single"/>
                      <w:lang w:val="en-US"/>
                    </w:rPr>
                    <w:t>Tariff lines</w:t>
                  </w:r>
                </w:p>
              </w:tc>
            </w:tr>
            <w:tr w:rsidR="00DD365C" w:rsidRPr="00063155" w:rsidTr="00EB5FFA">
              <w:trPr>
                <w:trHeight w:val="315"/>
              </w:trPr>
              <w:tc>
                <w:tcPr>
                  <w:tcW w:w="136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2008</w:t>
                  </w:r>
                </w:p>
              </w:tc>
              <w:tc>
                <w:tcPr>
                  <w:tcW w:w="1240" w:type="dxa"/>
                  <w:tcBorders>
                    <w:top w:val="nil"/>
                    <w:left w:val="nil"/>
                    <w:bottom w:val="nil"/>
                    <w:right w:val="nil"/>
                  </w:tcBorders>
                  <w:shd w:val="clear" w:color="auto" w:fill="auto"/>
                  <w:noWrap/>
                  <w:vAlign w:val="bottom"/>
                  <w:hideMark/>
                </w:tcPr>
                <w:p w:rsidR="00DD365C" w:rsidRPr="00063155" w:rsidRDefault="00DD365C" w:rsidP="00EB5FFA">
                  <w:pPr>
                    <w:rPr>
                      <w:rFonts w:ascii="Cambria" w:eastAsia="Times New Roman" w:hAnsi="Cambria"/>
                      <w:i/>
                      <w:sz w:val="20"/>
                      <w:lang w:val="en-US"/>
                    </w:rPr>
                  </w:pPr>
                </w:p>
              </w:tc>
              <w:tc>
                <w:tcPr>
                  <w:tcW w:w="224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20</w:t>
                  </w:r>
                </w:p>
              </w:tc>
            </w:tr>
            <w:tr w:rsidR="00DD365C" w:rsidRPr="00063155" w:rsidTr="00EB5FFA">
              <w:trPr>
                <w:trHeight w:val="315"/>
              </w:trPr>
              <w:tc>
                <w:tcPr>
                  <w:tcW w:w="136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2010</w:t>
                  </w:r>
                </w:p>
              </w:tc>
              <w:tc>
                <w:tcPr>
                  <w:tcW w:w="1240" w:type="dxa"/>
                  <w:tcBorders>
                    <w:top w:val="nil"/>
                    <w:left w:val="nil"/>
                    <w:bottom w:val="nil"/>
                    <w:right w:val="nil"/>
                  </w:tcBorders>
                  <w:shd w:val="clear" w:color="auto" w:fill="auto"/>
                  <w:noWrap/>
                  <w:vAlign w:val="bottom"/>
                  <w:hideMark/>
                </w:tcPr>
                <w:p w:rsidR="00DD365C" w:rsidRPr="00063155" w:rsidRDefault="00DD365C" w:rsidP="00EB5FFA">
                  <w:pPr>
                    <w:rPr>
                      <w:rFonts w:ascii="Cambria" w:eastAsia="Times New Roman" w:hAnsi="Cambria"/>
                      <w:i/>
                      <w:sz w:val="20"/>
                      <w:lang w:val="en-US"/>
                    </w:rPr>
                  </w:pPr>
                </w:p>
              </w:tc>
              <w:tc>
                <w:tcPr>
                  <w:tcW w:w="224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20</w:t>
                  </w:r>
                </w:p>
              </w:tc>
            </w:tr>
            <w:tr w:rsidR="00DD365C" w:rsidRPr="00063155" w:rsidTr="00EB5FFA">
              <w:trPr>
                <w:trHeight w:val="315"/>
              </w:trPr>
              <w:tc>
                <w:tcPr>
                  <w:tcW w:w="136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2012</w:t>
                  </w:r>
                </w:p>
              </w:tc>
              <w:tc>
                <w:tcPr>
                  <w:tcW w:w="1240" w:type="dxa"/>
                  <w:tcBorders>
                    <w:top w:val="nil"/>
                    <w:left w:val="nil"/>
                    <w:bottom w:val="nil"/>
                    <w:right w:val="nil"/>
                  </w:tcBorders>
                  <w:shd w:val="clear" w:color="auto" w:fill="auto"/>
                  <w:noWrap/>
                  <w:vAlign w:val="bottom"/>
                  <w:hideMark/>
                </w:tcPr>
                <w:p w:rsidR="00DD365C" w:rsidRPr="00063155" w:rsidRDefault="00DD365C" w:rsidP="00EB5FFA">
                  <w:pPr>
                    <w:rPr>
                      <w:rFonts w:ascii="Cambria" w:eastAsia="Times New Roman" w:hAnsi="Cambria"/>
                      <w:i/>
                      <w:sz w:val="20"/>
                      <w:lang w:val="en-US"/>
                    </w:rPr>
                  </w:pPr>
                </w:p>
              </w:tc>
              <w:tc>
                <w:tcPr>
                  <w:tcW w:w="2240" w:type="dxa"/>
                  <w:tcBorders>
                    <w:top w:val="nil"/>
                    <w:left w:val="nil"/>
                    <w:bottom w:val="nil"/>
                    <w:right w:val="nil"/>
                  </w:tcBorders>
                  <w:shd w:val="clear" w:color="auto" w:fill="auto"/>
                  <w:noWrap/>
                  <w:vAlign w:val="center"/>
                  <w:hideMark/>
                </w:tcPr>
                <w:p w:rsidR="00DD365C" w:rsidRPr="00063155" w:rsidRDefault="00DD365C" w:rsidP="00EB5FFA">
                  <w:pPr>
                    <w:jc w:val="center"/>
                    <w:rPr>
                      <w:rFonts w:ascii="Cambria" w:eastAsia="Times New Roman" w:hAnsi="Cambria"/>
                      <w:i/>
                      <w:sz w:val="20"/>
                      <w:lang w:val="en-US"/>
                    </w:rPr>
                  </w:pPr>
                  <w:r w:rsidRPr="00063155">
                    <w:rPr>
                      <w:rFonts w:ascii="Cambria" w:eastAsia="Times New Roman" w:hAnsi="Cambria"/>
                      <w:i/>
                      <w:sz w:val="20"/>
                      <w:lang w:val="en-US"/>
                    </w:rPr>
                    <w:t>19</w:t>
                  </w:r>
                </w:p>
              </w:tc>
            </w:tr>
          </w:tbl>
          <w:p w:rsidR="001F22A2" w:rsidRPr="00063155" w:rsidRDefault="001F22A2">
            <w:pPr>
              <w:rPr>
                <w:rFonts w:ascii="Calibri" w:hAnsi="Calibri"/>
                <w:i/>
                <w:sz w:val="20"/>
              </w:rPr>
            </w:pPr>
          </w:p>
        </w:tc>
        <w:tc>
          <w:tcPr>
            <w:tcW w:w="5670" w:type="dxa"/>
          </w:tcPr>
          <w:p w:rsidR="001F22A2" w:rsidRPr="00063155" w:rsidRDefault="001F22A2">
            <w:pPr>
              <w:rPr>
                <w:rFonts w:ascii="Calibri" w:hAnsi="Calibri"/>
                <w:i/>
                <w:sz w:val="20"/>
              </w:rPr>
            </w:pPr>
            <w:bookmarkStart w:id="6" w:name="Cell04"/>
            <w:bookmarkEnd w:id="6"/>
            <w:r w:rsidRPr="00063155">
              <w:rPr>
                <w:rFonts w:ascii="Calibri" w:hAnsi="Calibri" w:cs="Arial"/>
                <w:i/>
                <w:sz w:val="20"/>
              </w:rPr>
              <w:t>Provide brief points only</w:t>
            </w:r>
          </w:p>
        </w:tc>
      </w:tr>
      <w:tr w:rsidR="00C65AD1" w:rsidRPr="009E28DA" w:rsidTr="009E28DA">
        <w:trPr>
          <w:trHeight w:val="200"/>
        </w:trPr>
        <w:tc>
          <w:tcPr>
            <w:tcW w:w="3524" w:type="dxa"/>
          </w:tcPr>
          <w:p w:rsidR="00C65AD1" w:rsidRPr="00BF37B1" w:rsidRDefault="00C65AD1" w:rsidP="009E28DA">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C65AD1" w:rsidRPr="00063155" w:rsidRDefault="00DD365C" w:rsidP="009E28DA">
            <w:pPr>
              <w:pStyle w:val="Heading9"/>
              <w:rPr>
                <w:rFonts w:ascii="Calibri" w:hAnsi="Calibri"/>
                <w:b w:val="0"/>
              </w:rPr>
            </w:pPr>
            <w:r w:rsidRPr="00063155">
              <w:rPr>
                <w:rFonts w:ascii="Calibri" w:hAnsi="Calibri"/>
                <w:b w:val="0"/>
              </w:rPr>
              <w:t>www.customs.gov.my</w:t>
            </w:r>
          </w:p>
        </w:tc>
        <w:tc>
          <w:tcPr>
            <w:tcW w:w="5670" w:type="dxa"/>
          </w:tcPr>
          <w:p w:rsidR="00C65AD1" w:rsidRPr="00063155" w:rsidRDefault="00C65AD1" w:rsidP="009E28DA">
            <w:pPr>
              <w:pStyle w:val="Heading9"/>
              <w:rPr>
                <w:rFonts w:ascii="Calibri" w:hAnsi="Calibri"/>
                <w:b w:val="0"/>
              </w:rPr>
            </w:pPr>
          </w:p>
        </w:tc>
      </w:tr>
      <w:tr w:rsidR="00C65AD1" w:rsidRPr="009E28DA" w:rsidTr="009E28DA">
        <w:trPr>
          <w:trHeight w:val="245"/>
        </w:trPr>
        <w:tc>
          <w:tcPr>
            <w:tcW w:w="3524" w:type="dxa"/>
          </w:tcPr>
          <w:p w:rsidR="00C65AD1" w:rsidRPr="00BF37B1" w:rsidRDefault="00C65AD1" w:rsidP="009E28DA">
            <w:pPr>
              <w:pStyle w:val="Heading9"/>
              <w:rPr>
                <w:rFonts w:ascii="Calibri" w:hAnsi="Calibri"/>
                <w:b w:val="0"/>
                <w:color w:val="808080"/>
              </w:rPr>
            </w:pPr>
            <w:r w:rsidRPr="00BF37B1">
              <w:rPr>
                <w:rFonts w:ascii="Calibri" w:hAnsi="Calibri"/>
                <w:b w:val="0"/>
                <w:color w:val="808080"/>
              </w:rPr>
              <w:t>Contact p</w:t>
            </w:r>
            <w:r w:rsidR="00C52482" w:rsidRPr="00BF37B1">
              <w:rPr>
                <w:rFonts w:ascii="Calibri" w:hAnsi="Calibri"/>
                <w:b w:val="0"/>
                <w:color w:val="808080"/>
              </w:rPr>
              <w:t>oint for further details</w:t>
            </w:r>
            <w:r w:rsidRPr="00BF37B1">
              <w:rPr>
                <w:rFonts w:ascii="Calibri" w:hAnsi="Calibri"/>
                <w:b w:val="0"/>
                <w:color w:val="808080"/>
              </w:rPr>
              <w:t xml:space="preserve">: </w:t>
            </w:r>
          </w:p>
        </w:tc>
        <w:tc>
          <w:tcPr>
            <w:tcW w:w="5387" w:type="dxa"/>
          </w:tcPr>
          <w:p w:rsidR="00C65AD1" w:rsidRPr="00063155" w:rsidRDefault="00DD365C" w:rsidP="009E28DA">
            <w:pPr>
              <w:pStyle w:val="Heading9"/>
              <w:rPr>
                <w:rFonts w:ascii="Calibri" w:hAnsi="Calibri"/>
                <w:b w:val="0"/>
              </w:rPr>
            </w:pPr>
            <w:proofErr w:type="spellStart"/>
            <w:r w:rsidRPr="00063155">
              <w:rPr>
                <w:rFonts w:asciiTheme="minorHAnsi" w:hAnsiTheme="minorHAnsi"/>
                <w:b w:val="0"/>
              </w:rPr>
              <w:t>Habsah</w:t>
            </w:r>
            <w:proofErr w:type="spellEnd"/>
            <w:r w:rsidRPr="00063155">
              <w:rPr>
                <w:rFonts w:asciiTheme="minorHAnsi" w:hAnsiTheme="minorHAnsi"/>
                <w:b w:val="0"/>
              </w:rPr>
              <w:t xml:space="preserve"> </w:t>
            </w:r>
            <w:proofErr w:type="gramStart"/>
            <w:r w:rsidRPr="00063155">
              <w:rPr>
                <w:rFonts w:asciiTheme="minorHAnsi" w:hAnsiTheme="minorHAnsi"/>
                <w:b w:val="0"/>
              </w:rPr>
              <w:t>Bt</w:t>
            </w:r>
            <w:proofErr w:type="gramEnd"/>
            <w:r w:rsidRPr="00063155">
              <w:rPr>
                <w:rFonts w:asciiTheme="minorHAnsi" w:hAnsiTheme="minorHAnsi"/>
                <w:b w:val="0"/>
              </w:rPr>
              <w:t xml:space="preserve"> </w:t>
            </w:r>
            <w:proofErr w:type="spellStart"/>
            <w:r w:rsidRPr="00063155">
              <w:rPr>
                <w:rFonts w:asciiTheme="minorHAnsi" w:hAnsiTheme="minorHAnsi"/>
                <w:b w:val="0"/>
              </w:rPr>
              <w:t>Kamaron</w:t>
            </w:r>
            <w:proofErr w:type="spellEnd"/>
            <w:r w:rsidRPr="00063155">
              <w:rPr>
                <w:rFonts w:asciiTheme="minorHAnsi" w:hAnsiTheme="minorHAnsi"/>
                <w:b w:val="0"/>
              </w:rPr>
              <w:t xml:space="preserve"> (habsah.kamaron@customs.gov.my)</w:t>
            </w:r>
          </w:p>
        </w:tc>
        <w:tc>
          <w:tcPr>
            <w:tcW w:w="5670" w:type="dxa"/>
          </w:tcPr>
          <w:p w:rsidR="00C65AD1" w:rsidRPr="00063155" w:rsidRDefault="00C65AD1" w:rsidP="009E28DA">
            <w:pPr>
              <w:pStyle w:val="Heading9"/>
              <w:rPr>
                <w:rFonts w:ascii="Calibri" w:hAnsi="Calibri"/>
                <w:b w:val="0"/>
              </w:rPr>
            </w:pPr>
          </w:p>
        </w:tc>
      </w:tr>
      <w:tr w:rsidR="001F22A2">
        <w:tc>
          <w:tcPr>
            <w:tcW w:w="3524" w:type="dxa"/>
          </w:tcPr>
          <w:p w:rsidR="001F22A2" w:rsidRPr="00BF37B1" w:rsidRDefault="001F22A2">
            <w:pPr>
              <w:rPr>
                <w:rFonts w:ascii="Calibri" w:hAnsi="Calibri"/>
                <w:b/>
                <w:i/>
                <w:sz w:val="20"/>
              </w:rPr>
            </w:pPr>
            <w:bookmarkStart w:id="7" w:name="Row3"/>
            <w:r w:rsidRPr="00BF37B1">
              <w:rPr>
                <w:rFonts w:ascii="Calibri" w:hAnsi="Calibri"/>
                <w:b/>
                <w:i/>
                <w:sz w:val="20"/>
              </w:rPr>
              <w:t>Services</w:t>
            </w:r>
            <w:bookmarkEnd w:id="7"/>
          </w:p>
          <w:p w:rsidR="001F22A2" w:rsidRPr="00BF37B1" w:rsidRDefault="001F22A2">
            <w:pPr>
              <w:rPr>
                <w:rFonts w:ascii="Calibri" w:hAnsi="Calibri"/>
                <w:b/>
                <w:i/>
                <w:sz w:val="20"/>
              </w:rPr>
            </w:pPr>
          </w:p>
        </w:tc>
        <w:tc>
          <w:tcPr>
            <w:tcW w:w="5387" w:type="dxa"/>
          </w:tcPr>
          <w:p w:rsidR="001E709F" w:rsidRPr="00063155" w:rsidRDefault="001E709F" w:rsidP="001E709F">
            <w:pPr>
              <w:rPr>
                <w:rFonts w:ascii="Calibri" w:hAnsi="Calibri" w:cs="Arial"/>
                <w:i/>
                <w:sz w:val="20"/>
                <w:u w:val="single"/>
                <w:lang w:val="en-US"/>
              </w:rPr>
            </w:pPr>
            <w:bookmarkStart w:id="8" w:name="Cell05"/>
            <w:bookmarkEnd w:id="8"/>
            <w:r w:rsidRPr="00063155">
              <w:rPr>
                <w:rFonts w:ascii="Calibri" w:hAnsi="Calibri" w:cs="Arial"/>
                <w:i/>
                <w:sz w:val="20"/>
                <w:u w:val="single"/>
                <w:lang w:val="en-US"/>
              </w:rPr>
              <w:t>Mode 4</w:t>
            </w:r>
          </w:p>
          <w:p w:rsidR="001E709F" w:rsidRPr="00063155" w:rsidRDefault="001E709F" w:rsidP="001E709F">
            <w:pPr>
              <w:numPr>
                <w:ilvl w:val="0"/>
                <w:numId w:val="22"/>
              </w:numPr>
              <w:ind w:left="480" w:hanging="480"/>
              <w:rPr>
                <w:rFonts w:ascii="Calibri" w:hAnsi="Calibri" w:cs="Arial"/>
                <w:i/>
                <w:sz w:val="20"/>
                <w:lang w:val="en-US"/>
              </w:rPr>
            </w:pPr>
            <w:proofErr w:type="spellStart"/>
            <w:r w:rsidRPr="00063155">
              <w:rPr>
                <w:rFonts w:ascii="Calibri" w:hAnsi="Calibri" w:cs="Arial"/>
                <w:i/>
                <w:sz w:val="20"/>
                <w:u w:val="single"/>
                <w:lang w:val="en-US"/>
              </w:rPr>
              <w:t>TalentCorp</w:t>
            </w:r>
            <w:proofErr w:type="spellEnd"/>
            <w:r w:rsidRPr="00063155">
              <w:rPr>
                <w:rFonts w:ascii="Calibri" w:hAnsi="Calibri" w:cs="Arial"/>
                <w:i/>
                <w:sz w:val="20"/>
                <w:lang w:val="en-US"/>
              </w:rPr>
              <w:t xml:space="preserve"> was established on </w:t>
            </w:r>
            <w:r w:rsidRPr="00063155">
              <w:rPr>
                <w:rFonts w:ascii="Calibri" w:hAnsi="Calibri" w:cs="Arial"/>
                <w:i/>
                <w:sz w:val="20"/>
                <w:u w:val="single"/>
                <w:lang w:val="en-US"/>
              </w:rPr>
              <w:t>1 January 2011</w:t>
            </w:r>
            <w:r w:rsidRPr="00063155">
              <w:rPr>
                <w:rFonts w:ascii="Calibri" w:hAnsi="Calibri" w:cs="Arial"/>
                <w:i/>
                <w:sz w:val="20"/>
                <w:lang w:val="en-US"/>
              </w:rPr>
              <w:t xml:space="preserve">, to initiate, </w:t>
            </w:r>
            <w:proofErr w:type="gramStart"/>
            <w:r w:rsidRPr="00063155">
              <w:rPr>
                <w:rFonts w:ascii="Calibri" w:hAnsi="Calibri" w:cs="Arial"/>
                <w:i/>
                <w:sz w:val="20"/>
                <w:lang w:val="en-US"/>
              </w:rPr>
              <w:t>facilitate</w:t>
            </w:r>
            <w:proofErr w:type="gramEnd"/>
            <w:r w:rsidRPr="00063155">
              <w:rPr>
                <w:rFonts w:ascii="Calibri" w:hAnsi="Calibri" w:cs="Arial"/>
                <w:i/>
                <w:sz w:val="20"/>
                <w:lang w:val="en-US"/>
              </w:rPr>
              <w:t xml:space="preserve"> and attract both foreign and </w:t>
            </w:r>
            <w:r w:rsidRPr="00063155">
              <w:rPr>
                <w:rFonts w:ascii="Calibri" w:hAnsi="Calibri" w:cs="Arial"/>
                <w:i/>
                <w:sz w:val="20"/>
                <w:u w:val="single"/>
                <w:lang w:val="en-US"/>
              </w:rPr>
              <w:t>Malaysian talents working abroad</w:t>
            </w:r>
            <w:r w:rsidRPr="00063155">
              <w:rPr>
                <w:rFonts w:ascii="Calibri" w:hAnsi="Calibri" w:cs="Arial"/>
                <w:i/>
                <w:sz w:val="20"/>
                <w:lang w:val="en-US"/>
              </w:rPr>
              <w:t>.</w:t>
            </w:r>
          </w:p>
          <w:p w:rsidR="001E709F" w:rsidRPr="00063155" w:rsidRDefault="001E709F" w:rsidP="001E709F">
            <w:pPr>
              <w:rPr>
                <w:rFonts w:ascii="Calibri" w:hAnsi="Calibri" w:cs="Arial"/>
                <w:b/>
                <w:i/>
                <w:sz w:val="20"/>
                <w:lang w:val="en-US"/>
              </w:rPr>
            </w:pPr>
          </w:p>
          <w:p w:rsidR="001E709F" w:rsidRPr="00063155" w:rsidRDefault="001E709F" w:rsidP="001E709F">
            <w:pPr>
              <w:rPr>
                <w:rFonts w:ascii="Calibri" w:hAnsi="Calibri" w:cs="Arial"/>
                <w:i/>
                <w:sz w:val="20"/>
                <w:u w:val="single"/>
                <w:lang w:val="en-US"/>
              </w:rPr>
            </w:pPr>
            <w:r w:rsidRPr="00063155">
              <w:rPr>
                <w:rFonts w:ascii="Calibri" w:hAnsi="Calibri" w:cs="Arial"/>
                <w:i/>
                <w:sz w:val="20"/>
                <w:u w:val="single"/>
                <w:lang w:val="en-US"/>
              </w:rPr>
              <w:t>Selected services sub-sector</w:t>
            </w:r>
          </w:p>
          <w:p w:rsidR="001E709F" w:rsidRPr="00063155" w:rsidRDefault="00483D61" w:rsidP="001E709F">
            <w:pPr>
              <w:numPr>
                <w:ilvl w:val="0"/>
                <w:numId w:val="22"/>
              </w:numPr>
              <w:ind w:left="480" w:hanging="480"/>
              <w:rPr>
                <w:rFonts w:ascii="Calibri" w:hAnsi="Calibri" w:cs="Arial"/>
                <w:i/>
                <w:sz w:val="20"/>
                <w:lang w:val="en-US"/>
              </w:rPr>
            </w:pPr>
            <w:r>
              <w:rPr>
                <w:rFonts w:ascii="Calibri" w:hAnsi="Calibri" w:cs="Arial"/>
                <w:i/>
                <w:sz w:val="20"/>
                <w:lang w:val="en-US"/>
              </w:rPr>
              <w:t>Malaysian</w:t>
            </w:r>
            <w:r w:rsidR="001E709F" w:rsidRPr="00063155">
              <w:rPr>
                <w:rFonts w:ascii="Calibri" w:hAnsi="Calibri" w:cs="Arial"/>
                <w:i/>
                <w:sz w:val="20"/>
                <w:lang w:val="en-US"/>
              </w:rPr>
              <w:t xml:space="preserve"> Prime Minister at the Budget Speech 2012 on 7 October </w:t>
            </w:r>
            <w:proofErr w:type="gramStart"/>
            <w:r w:rsidR="001E709F" w:rsidRPr="00063155">
              <w:rPr>
                <w:rFonts w:ascii="Calibri" w:hAnsi="Calibri" w:cs="Arial"/>
                <w:i/>
                <w:sz w:val="20"/>
                <w:lang w:val="en-US"/>
              </w:rPr>
              <w:t>2011,</w:t>
            </w:r>
            <w:proofErr w:type="gramEnd"/>
            <w:r w:rsidR="001E709F" w:rsidRPr="00063155">
              <w:rPr>
                <w:rFonts w:ascii="Calibri" w:hAnsi="Calibri" w:cs="Arial"/>
                <w:i/>
                <w:sz w:val="20"/>
                <w:lang w:val="en-US"/>
              </w:rPr>
              <w:t xml:space="preserve"> had announced further </w:t>
            </w:r>
            <w:proofErr w:type="spellStart"/>
            <w:r w:rsidR="001E709F" w:rsidRPr="00063155">
              <w:rPr>
                <w:rFonts w:ascii="Calibri" w:hAnsi="Calibri" w:cs="Arial"/>
                <w:i/>
                <w:sz w:val="20"/>
                <w:u w:val="single"/>
                <w:lang w:val="en-US"/>
              </w:rPr>
              <w:t>liberalisation</w:t>
            </w:r>
            <w:proofErr w:type="spellEnd"/>
            <w:r w:rsidR="001E709F" w:rsidRPr="00063155">
              <w:rPr>
                <w:rFonts w:ascii="Calibri" w:hAnsi="Calibri" w:cs="Arial"/>
                <w:i/>
                <w:sz w:val="20"/>
                <w:lang w:val="en-US"/>
              </w:rPr>
              <w:t xml:space="preserve"> in </w:t>
            </w:r>
            <w:r w:rsidR="001E709F" w:rsidRPr="00063155">
              <w:rPr>
                <w:rFonts w:ascii="Calibri" w:hAnsi="Calibri" w:cs="Arial"/>
                <w:i/>
                <w:sz w:val="20"/>
                <w:u w:val="single"/>
                <w:lang w:val="en-US"/>
              </w:rPr>
              <w:t>terms</w:t>
            </w:r>
            <w:r w:rsidR="001E709F" w:rsidRPr="00063155">
              <w:rPr>
                <w:rFonts w:ascii="Calibri" w:hAnsi="Calibri" w:cs="Arial"/>
                <w:i/>
                <w:sz w:val="20"/>
                <w:lang w:val="en-US"/>
              </w:rPr>
              <w:t xml:space="preserve"> of</w:t>
            </w:r>
            <w:r w:rsidR="001E709F" w:rsidRPr="00063155">
              <w:rPr>
                <w:rFonts w:ascii="Calibri" w:hAnsi="Calibri" w:cs="Arial"/>
                <w:i/>
                <w:sz w:val="20"/>
                <w:u w:val="single"/>
                <w:lang w:val="en-US"/>
              </w:rPr>
              <w:t xml:space="preserve"> foreign equity holdings</w:t>
            </w:r>
            <w:r w:rsidR="001E709F" w:rsidRPr="00063155">
              <w:rPr>
                <w:rFonts w:ascii="Calibri" w:hAnsi="Calibri" w:cs="Arial"/>
                <w:i/>
                <w:sz w:val="20"/>
                <w:lang w:val="en-US"/>
              </w:rPr>
              <w:t xml:space="preserve"> for </w:t>
            </w:r>
            <w:r w:rsidR="001E709F" w:rsidRPr="00063155">
              <w:rPr>
                <w:rFonts w:ascii="Calibri" w:hAnsi="Calibri" w:cs="Arial"/>
                <w:i/>
                <w:sz w:val="20"/>
                <w:u w:val="single"/>
                <w:lang w:val="en-US"/>
              </w:rPr>
              <w:t>17 services sub sectors</w:t>
            </w:r>
            <w:r w:rsidR="001E709F" w:rsidRPr="00063155">
              <w:rPr>
                <w:rFonts w:ascii="Calibri" w:hAnsi="Calibri" w:cs="Arial"/>
                <w:i/>
                <w:sz w:val="20"/>
                <w:lang w:val="en-US"/>
              </w:rPr>
              <w:t xml:space="preserve"> which will be done </w:t>
            </w:r>
            <w:r w:rsidR="001E709F" w:rsidRPr="00063155">
              <w:rPr>
                <w:rFonts w:ascii="Calibri" w:hAnsi="Calibri" w:cs="Arial"/>
                <w:i/>
                <w:sz w:val="20"/>
                <w:u w:val="single"/>
                <w:lang w:val="en-US"/>
              </w:rPr>
              <w:t>in phases in 2012</w:t>
            </w:r>
            <w:r w:rsidR="001E709F" w:rsidRPr="00063155">
              <w:rPr>
                <w:rFonts w:ascii="Calibri" w:hAnsi="Calibri" w:cs="Arial"/>
                <w:i/>
                <w:sz w:val="20"/>
                <w:lang w:val="en-US"/>
              </w:rPr>
              <w:t xml:space="preserve">.  </w:t>
            </w:r>
          </w:p>
          <w:p w:rsidR="001E709F" w:rsidRPr="00063155" w:rsidRDefault="001E709F" w:rsidP="001E709F">
            <w:pPr>
              <w:rPr>
                <w:rFonts w:ascii="Calibri" w:hAnsi="Calibri" w:cs="Arial"/>
                <w:b/>
                <w:i/>
                <w:sz w:val="20"/>
                <w:lang w:val="en-US"/>
              </w:rPr>
            </w:pPr>
          </w:p>
          <w:p w:rsidR="001E709F" w:rsidRPr="00063155" w:rsidRDefault="001E709F" w:rsidP="001E709F">
            <w:pPr>
              <w:numPr>
                <w:ilvl w:val="0"/>
                <w:numId w:val="22"/>
              </w:numPr>
              <w:ind w:left="480" w:hanging="480"/>
              <w:rPr>
                <w:rFonts w:ascii="Calibri" w:hAnsi="Calibri" w:cs="Arial"/>
                <w:i/>
                <w:sz w:val="20"/>
                <w:lang w:val="en-US"/>
              </w:rPr>
            </w:pPr>
            <w:r w:rsidRPr="00063155">
              <w:rPr>
                <w:rFonts w:ascii="Calibri" w:hAnsi="Calibri" w:cs="Arial"/>
                <w:i/>
                <w:sz w:val="20"/>
                <w:lang w:val="en-US"/>
              </w:rPr>
              <w:t xml:space="preserve">These </w:t>
            </w:r>
            <w:r w:rsidRPr="00063155">
              <w:rPr>
                <w:rFonts w:ascii="Calibri" w:hAnsi="Calibri" w:cs="Arial"/>
                <w:i/>
                <w:sz w:val="20"/>
                <w:u w:val="single"/>
                <w:lang w:val="en-US"/>
              </w:rPr>
              <w:t>17 sub-sectors</w:t>
            </w:r>
            <w:r w:rsidRPr="00063155">
              <w:rPr>
                <w:rFonts w:ascii="Calibri" w:hAnsi="Calibri" w:cs="Arial"/>
                <w:i/>
                <w:sz w:val="20"/>
                <w:lang w:val="en-US"/>
              </w:rPr>
              <w:t xml:space="preserve"> are:</w:t>
            </w:r>
          </w:p>
          <w:p w:rsidR="001E709F" w:rsidRPr="00063155" w:rsidRDefault="001E709F" w:rsidP="001E709F">
            <w:pPr>
              <w:rPr>
                <w:rFonts w:ascii="Calibri" w:hAnsi="Calibri" w:cs="Arial"/>
                <w:i/>
                <w:sz w:val="20"/>
                <w:lang w:val="ms-MY"/>
              </w:rPr>
            </w:pP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 xml:space="preserve">Telecommunications (For Application Services Providers </w:t>
            </w:r>
            <w:r w:rsidRPr="00063155">
              <w:rPr>
                <w:rFonts w:ascii="Calibri" w:hAnsi="Calibri" w:cs="Arial"/>
                <w:i/>
                <w:sz w:val="20"/>
                <w:u w:val="single"/>
                <w:lang w:val="en-GB"/>
              </w:rPr>
              <w:t>(ASP</w:t>
            </w:r>
            <w:r w:rsidRPr="00063155">
              <w:rPr>
                <w:rFonts w:ascii="Calibri" w:hAnsi="Calibri" w:cs="Arial"/>
                <w:i/>
                <w:sz w:val="20"/>
                <w:lang w:val="en-GB"/>
              </w:rPr>
              <w:t>) licences).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Courier Services.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Private Higher Education with University status.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International Schools.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Technical and Vocational Secondary Education Services.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Technical and Vocational Secondary Education Services for students with special needs.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Skills Training Centre.</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Private Hospitals Service.</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Specialised Medical Services.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Specialised Dental Services.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Departmental Stores and Specialty Stores.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Incineration Services.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Accounting and Taxation Services.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Telecommunications (For Network Facilities Providers (NFP) and Network Services Providers (NSP) licences).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Architectural services.</w:t>
            </w:r>
          </w:p>
          <w:p w:rsidR="001E709F" w:rsidRPr="00063155" w:rsidRDefault="001E709F" w:rsidP="001E709F">
            <w:pPr>
              <w:numPr>
                <w:ilvl w:val="0"/>
                <w:numId w:val="21"/>
              </w:numPr>
              <w:ind w:left="905" w:hanging="425"/>
              <w:rPr>
                <w:rFonts w:ascii="Calibri" w:hAnsi="Calibri" w:cs="Arial"/>
                <w:i/>
                <w:sz w:val="20"/>
                <w:lang w:val="en-GB"/>
              </w:rPr>
            </w:pPr>
            <w:r w:rsidRPr="00063155">
              <w:rPr>
                <w:rFonts w:ascii="Calibri" w:hAnsi="Calibri" w:cs="Arial"/>
                <w:i/>
                <w:sz w:val="20"/>
                <w:lang w:val="en-GB"/>
              </w:rPr>
              <w:t>Engineering services.</w:t>
            </w:r>
          </w:p>
          <w:p w:rsidR="001F22A2" w:rsidRPr="00063155" w:rsidRDefault="001E709F" w:rsidP="001E709F">
            <w:pPr>
              <w:numPr>
                <w:ilvl w:val="0"/>
                <w:numId w:val="21"/>
              </w:numPr>
              <w:ind w:left="905" w:hanging="425"/>
              <w:rPr>
                <w:rFonts w:ascii="Calibri" w:hAnsi="Calibri"/>
                <w:i/>
                <w:sz w:val="20"/>
              </w:rPr>
            </w:pPr>
            <w:r w:rsidRPr="00063155">
              <w:rPr>
                <w:rFonts w:ascii="Calibri" w:hAnsi="Calibri" w:cs="Arial"/>
                <w:i/>
                <w:sz w:val="20"/>
                <w:lang w:val="en-GB"/>
              </w:rPr>
              <w:t>Legal Services.</w:t>
            </w:r>
          </w:p>
        </w:tc>
        <w:tc>
          <w:tcPr>
            <w:tcW w:w="5670" w:type="dxa"/>
          </w:tcPr>
          <w:p w:rsidR="001F22A2" w:rsidRPr="00063155" w:rsidRDefault="001F22A2">
            <w:pPr>
              <w:rPr>
                <w:rFonts w:ascii="Calibri" w:hAnsi="Calibri"/>
                <w:i/>
                <w:sz w:val="20"/>
              </w:rPr>
            </w:pPr>
            <w:bookmarkStart w:id="9" w:name="Cell06"/>
            <w:bookmarkEnd w:id="9"/>
            <w:r w:rsidRPr="00063155">
              <w:rPr>
                <w:rFonts w:ascii="Calibri" w:hAnsi="Calibri" w:cs="Arial"/>
                <w:i/>
                <w:sz w:val="20"/>
              </w:rPr>
              <w:t>Provide brief points only</w:t>
            </w:r>
          </w:p>
        </w:tc>
      </w:tr>
      <w:tr w:rsidR="001A1859" w:rsidRPr="009E28DA">
        <w:tc>
          <w:tcPr>
            <w:tcW w:w="3524" w:type="dxa"/>
          </w:tcPr>
          <w:p w:rsidR="001A1859" w:rsidRPr="00BF37B1" w:rsidRDefault="001A1859">
            <w:pPr>
              <w:rPr>
                <w:rFonts w:ascii="Calibri" w:hAnsi="Calibri"/>
                <w:i/>
                <w:color w:val="808080"/>
                <w:sz w:val="20"/>
              </w:rPr>
            </w:pPr>
            <w:r w:rsidRPr="00BF37B1">
              <w:rPr>
                <w:rFonts w:ascii="Calibri" w:hAnsi="Calibri"/>
                <w:i/>
                <w:color w:val="808080"/>
                <w:sz w:val="20"/>
              </w:rPr>
              <w:t xml:space="preserve">Website for further information:  </w:t>
            </w:r>
          </w:p>
        </w:tc>
        <w:tc>
          <w:tcPr>
            <w:tcW w:w="5387" w:type="dxa"/>
          </w:tcPr>
          <w:p w:rsidR="001A1859" w:rsidRPr="00063155" w:rsidRDefault="001E709F">
            <w:pPr>
              <w:rPr>
                <w:rFonts w:ascii="Calibri" w:hAnsi="Calibri" w:cs="Arial"/>
                <w:i/>
                <w:sz w:val="20"/>
              </w:rPr>
            </w:pPr>
            <w:r w:rsidRPr="00063155">
              <w:rPr>
                <w:rFonts w:ascii="Calibri" w:hAnsi="Calibri" w:cs="Arial"/>
                <w:i/>
                <w:sz w:val="20"/>
                <w:lang w:val="ms-MY"/>
              </w:rPr>
              <w:t>www.miti.gov.my</w:t>
            </w:r>
          </w:p>
        </w:tc>
        <w:tc>
          <w:tcPr>
            <w:tcW w:w="5670" w:type="dxa"/>
          </w:tcPr>
          <w:p w:rsidR="001A1859" w:rsidRPr="00063155" w:rsidRDefault="001A1859">
            <w:pPr>
              <w:rPr>
                <w:rFonts w:ascii="Calibri" w:hAnsi="Calibri" w:cs="Arial"/>
                <w:i/>
                <w:sz w:val="20"/>
              </w:rPr>
            </w:pPr>
          </w:p>
        </w:tc>
      </w:tr>
      <w:tr w:rsidR="001A1859" w:rsidRPr="009E28DA">
        <w:tc>
          <w:tcPr>
            <w:tcW w:w="3524" w:type="dxa"/>
          </w:tcPr>
          <w:p w:rsidR="001A1859" w:rsidRPr="00BF37B1" w:rsidRDefault="001A1859">
            <w:pPr>
              <w:rPr>
                <w:rFonts w:ascii="Calibri" w:hAnsi="Calibri"/>
                <w:i/>
                <w:color w:val="808080"/>
                <w:sz w:val="20"/>
              </w:rPr>
            </w:pPr>
            <w:r w:rsidRPr="00BF37B1">
              <w:rPr>
                <w:rFonts w:ascii="Calibri" w:hAnsi="Calibri"/>
                <w:i/>
                <w:color w:val="808080"/>
                <w:sz w:val="20"/>
              </w:rPr>
              <w:t>Contact point for further details:</w:t>
            </w:r>
          </w:p>
        </w:tc>
        <w:tc>
          <w:tcPr>
            <w:tcW w:w="5387" w:type="dxa"/>
          </w:tcPr>
          <w:p w:rsidR="001A1859" w:rsidRPr="00063155" w:rsidRDefault="001E709F">
            <w:pPr>
              <w:rPr>
                <w:rFonts w:ascii="Calibri" w:hAnsi="Calibri" w:cs="Arial"/>
                <w:i/>
                <w:sz w:val="20"/>
              </w:rPr>
            </w:pPr>
            <w:r w:rsidRPr="00063155">
              <w:rPr>
                <w:rFonts w:ascii="Calibri" w:hAnsi="Calibri" w:cs="Arial"/>
                <w:i/>
                <w:sz w:val="20"/>
                <w:lang w:val="ms-MY"/>
              </w:rPr>
              <w:t>Mariam Md Salleh (mariam@miti.gov.my)</w:t>
            </w:r>
          </w:p>
        </w:tc>
        <w:tc>
          <w:tcPr>
            <w:tcW w:w="5670" w:type="dxa"/>
          </w:tcPr>
          <w:p w:rsidR="001A1859" w:rsidRPr="00063155" w:rsidRDefault="001A1859">
            <w:pPr>
              <w:rPr>
                <w:rFonts w:ascii="Calibri" w:hAnsi="Calibri" w:cs="Arial"/>
                <w:i/>
                <w:sz w:val="20"/>
              </w:rPr>
            </w:pPr>
          </w:p>
        </w:tc>
      </w:tr>
      <w:tr w:rsidR="001F22A2">
        <w:tc>
          <w:tcPr>
            <w:tcW w:w="3524" w:type="dxa"/>
          </w:tcPr>
          <w:p w:rsidR="001F22A2" w:rsidRPr="00BF37B1" w:rsidRDefault="001F22A2">
            <w:pPr>
              <w:rPr>
                <w:rFonts w:ascii="Calibri" w:hAnsi="Calibri"/>
                <w:b/>
                <w:i/>
                <w:sz w:val="20"/>
              </w:rPr>
            </w:pPr>
            <w:bookmarkStart w:id="10" w:name="Row4"/>
            <w:r w:rsidRPr="00BF37B1">
              <w:rPr>
                <w:rFonts w:ascii="Calibri" w:hAnsi="Calibri"/>
                <w:b/>
                <w:i/>
                <w:sz w:val="20"/>
              </w:rPr>
              <w:t>Investment</w:t>
            </w:r>
            <w:bookmarkEnd w:id="10"/>
          </w:p>
          <w:p w:rsidR="001F22A2" w:rsidRPr="00BF37B1" w:rsidRDefault="001F22A2">
            <w:pPr>
              <w:rPr>
                <w:rFonts w:ascii="Calibri" w:hAnsi="Calibri"/>
                <w:b/>
                <w:i/>
                <w:sz w:val="20"/>
              </w:rPr>
            </w:pPr>
          </w:p>
        </w:tc>
        <w:tc>
          <w:tcPr>
            <w:tcW w:w="5387" w:type="dxa"/>
          </w:tcPr>
          <w:p w:rsidR="001D52CC" w:rsidRPr="00063155" w:rsidRDefault="001D52CC" w:rsidP="001D52CC">
            <w:pPr>
              <w:pStyle w:val="ListParagraph"/>
              <w:numPr>
                <w:ilvl w:val="0"/>
                <w:numId w:val="6"/>
              </w:numPr>
              <w:ind w:left="432"/>
              <w:jc w:val="both"/>
              <w:rPr>
                <w:rFonts w:asciiTheme="minorHAnsi" w:hAnsiTheme="minorHAnsi"/>
                <w:i/>
                <w:sz w:val="20"/>
                <w:szCs w:val="20"/>
              </w:rPr>
            </w:pPr>
            <w:bookmarkStart w:id="11" w:name="Cell07"/>
            <w:bookmarkEnd w:id="11"/>
            <w:r w:rsidRPr="00063155">
              <w:rPr>
                <w:rFonts w:asciiTheme="minorHAnsi" w:hAnsiTheme="minorHAnsi"/>
                <w:i/>
                <w:sz w:val="20"/>
                <w:szCs w:val="20"/>
              </w:rPr>
              <w:t xml:space="preserve">On 18 August 2011, the amendment of Malaysian Industrial Development Authority (MIDA) Act has been </w:t>
            </w:r>
            <w:proofErr w:type="spellStart"/>
            <w:r w:rsidRPr="00063155">
              <w:rPr>
                <w:rFonts w:asciiTheme="minorHAnsi" w:hAnsiTheme="minorHAnsi"/>
                <w:i/>
                <w:sz w:val="20"/>
                <w:szCs w:val="20"/>
              </w:rPr>
              <w:t>gazetted</w:t>
            </w:r>
            <w:proofErr w:type="spellEnd"/>
            <w:r w:rsidRPr="00063155">
              <w:rPr>
                <w:rFonts w:asciiTheme="minorHAnsi" w:hAnsiTheme="minorHAnsi"/>
                <w:i/>
                <w:sz w:val="20"/>
                <w:szCs w:val="20"/>
              </w:rPr>
              <w:t xml:space="preserve">. The major amendment includes the change </w:t>
            </w:r>
            <w:proofErr w:type="gramStart"/>
            <w:r w:rsidRPr="00063155">
              <w:rPr>
                <w:rFonts w:asciiTheme="minorHAnsi" w:hAnsiTheme="minorHAnsi"/>
                <w:i/>
                <w:sz w:val="20"/>
                <w:szCs w:val="20"/>
              </w:rPr>
              <w:t>of  MIDA’s</w:t>
            </w:r>
            <w:proofErr w:type="gramEnd"/>
            <w:r w:rsidRPr="00063155">
              <w:rPr>
                <w:rFonts w:asciiTheme="minorHAnsi" w:hAnsiTheme="minorHAnsi"/>
                <w:i/>
                <w:sz w:val="20"/>
                <w:szCs w:val="20"/>
              </w:rPr>
              <w:t xml:space="preserve"> name  to Malaysian Investment Development Authority. This is to reflect expansion of MIDA’s main function  as the central investment promotion agency covering both manufacturing and services sectors (excluding financial and utilities)</w:t>
            </w:r>
          </w:p>
          <w:p w:rsidR="001D52CC" w:rsidRPr="00063155" w:rsidRDefault="001D52CC" w:rsidP="001D52CC">
            <w:pPr>
              <w:jc w:val="both"/>
              <w:rPr>
                <w:rFonts w:asciiTheme="minorHAnsi" w:hAnsiTheme="minorHAnsi"/>
                <w:i/>
                <w:sz w:val="20"/>
              </w:rPr>
            </w:pPr>
          </w:p>
          <w:p w:rsidR="001D52CC" w:rsidRPr="00063155" w:rsidRDefault="001D52CC" w:rsidP="001D52CC">
            <w:pPr>
              <w:pStyle w:val="ListParagraph"/>
              <w:numPr>
                <w:ilvl w:val="0"/>
                <w:numId w:val="7"/>
              </w:numPr>
              <w:ind w:left="432"/>
              <w:jc w:val="both"/>
              <w:rPr>
                <w:rFonts w:asciiTheme="minorHAnsi" w:hAnsiTheme="minorHAnsi"/>
                <w:i/>
                <w:sz w:val="20"/>
                <w:szCs w:val="20"/>
              </w:rPr>
            </w:pPr>
            <w:r w:rsidRPr="00063155">
              <w:rPr>
                <w:rFonts w:asciiTheme="minorHAnsi" w:hAnsiTheme="minorHAnsi"/>
                <w:i/>
                <w:sz w:val="20"/>
                <w:szCs w:val="20"/>
              </w:rPr>
              <w:t>In May 2010, the National Committee on Investment (NCI</w:t>
            </w:r>
            <w:proofErr w:type="gramStart"/>
            <w:r w:rsidRPr="00063155">
              <w:rPr>
                <w:rFonts w:asciiTheme="minorHAnsi" w:hAnsiTheme="minorHAnsi"/>
                <w:i/>
                <w:sz w:val="20"/>
                <w:szCs w:val="20"/>
              </w:rPr>
              <w:t>)  was</w:t>
            </w:r>
            <w:proofErr w:type="gramEnd"/>
            <w:r w:rsidRPr="00063155">
              <w:rPr>
                <w:rFonts w:asciiTheme="minorHAnsi" w:hAnsiTheme="minorHAnsi"/>
                <w:i/>
                <w:sz w:val="20"/>
                <w:szCs w:val="20"/>
              </w:rPr>
              <w:t xml:space="preserve"> established in MIDA.  The NCI enables “real time” decision making on applications for manufacturing license and incentives for investment projects in the manufacturing </w:t>
            </w:r>
            <w:proofErr w:type="gramStart"/>
            <w:r w:rsidRPr="00063155">
              <w:rPr>
                <w:rFonts w:asciiTheme="minorHAnsi" w:hAnsiTheme="minorHAnsi"/>
                <w:i/>
                <w:sz w:val="20"/>
                <w:szCs w:val="20"/>
              </w:rPr>
              <w:t>and  services</w:t>
            </w:r>
            <w:proofErr w:type="gramEnd"/>
            <w:r w:rsidRPr="00063155">
              <w:rPr>
                <w:rFonts w:asciiTheme="minorHAnsi" w:hAnsiTheme="minorHAnsi"/>
                <w:i/>
                <w:sz w:val="20"/>
                <w:szCs w:val="20"/>
              </w:rPr>
              <w:t xml:space="preserve"> sectors .</w:t>
            </w:r>
          </w:p>
          <w:p w:rsidR="001D52CC" w:rsidRPr="00063155" w:rsidRDefault="001D52CC" w:rsidP="001D52CC">
            <w:pPr>
              <w:jc w:val="both"/>
              <w:rPr>
                <w:rFonts w:asciiTheme="minorHAnsi" w:hAnsiTheme="minorHAnsi"/>
                <w:i/>
                <w:sz w:val="20"/>
              </w:rPr>
            </w:pPr>
          </w:p>
          <w:p w:rsidR="001D52CC" w:rsidRPr="00063155" w:rsidRDefault="001D52CC" w:rsidP="001D52CC">
            <w:pPr>
              <w:pStyle w:val="ListParagraph"/>
              <w:numPr>
                <w:ilvl w:val="0"/>
                <w:numId w:val="8"/>
              </w:numPr>
              <w:ind w:left="432"/>
              <w:jc w:val="both"/>
              <w:rPr>
                <w:rFonts w:asciiTheme="minorHAnsi" w:hAnsiTheme="minorHAnsi"/>
                <w:i/>
              </w:rPr>
            </w:pPr>
            <w:r w:rsidRPr="00063155">
              <w:rPr>
                <w:rFonts w:asciiTheme="minorHAnsi" w:hAnsiTheme="minorHAnsi"/>
                <w:i/>
                <w:sz w:val="20"/>
                <w:szCs w:val="20"/>
              </w:rPr>
              <w:t xml:space="preserve">In July 2010, the Task Force on Investment was established to enable the government (through MIDA) to enhance the coordination and </w:t>
            </w:r>
            <w:proofErr w:type="gramStart"/>
            <w:r w:rsidRPr="00063155">
              <w:rPr>
                <w:rFonts w:asciiTheme="minorHAnsi" w:hAnsiTheme="minorHAnsi"/>
                <w:i/>
                <w:sz w:val="20"/>
                <w:szCs w:val="20"/>
              </w:rPr>
              <w:t>cohesion  on</w:t>
            </w:r>
            <w:proofErr w:type="gramEnd"/>
            <w:r w:rsidRPr="00063155">
              <w:rPr>
                <w:rFonts w:asciiTheme="minorHAnsi" w:hAnsiTheme="minorHAnsi"/>
                <w:i/>
                <w:sz w:val="20"/>
                <w:szCs w:val="20"/>
              </w:rPr>
              <w:t xml:space="preserve"> investment promotion activities among the various investment promotion agencies in the country.</w:t>
            </w:r>
          </w:p>
          <w:p w:rsidR="001F22A2" w:rsidRPr="00063155" w:rsidRDefault="001F22A2">
            <w:pPr>
              <w:rPr>
                <w:rFonts w:ascii="Calibri" w:hAnsi="Calibri"/>
                <w:i/>
                <w:sz w:val="20"/>
              </w:rPr>
            </w:pPr>
          </w:p>
        </w:tc>
        <w:tc>
          <w:tcPr>
            <w:tcW w:w="5670" w:type="dxa"/>
          </w:tcPr>
          <w:p w:rsidR="001F22A2" w:rsidRPr="00063155" w:rsidRDefault="001F22A2">
            <w:pPr>
              <w:rPr>
                <w:rFonts w:ascii="Calibri" w:hAnsi="Calibri"/>
                <w:i/>
                <w:sz w:val="20"/>
              </w:rPr>
            </w:pPr>
            <w:bookmarkStart w:id="12" w:name="Cell08"/>
            <w:bookmarkEnd w:id="12"/>
            <w:r w:rsidRPr="00063155">
              <w:rPr>
                <w:rFonts w:ascii="Calibri" w:hAnsi="Calibri" w:cs="Arial"/>
                <w:i/>
                <w:sz w:val="20"/>
              </w:rPr>
              <w:t>Provide brief points only</w:t>
            </w:r>
          </w:p>
        </w:tc>
      </w:tr>
      <w:tr w:rsidR="001A1859" w:rsidRPr="009E28DA">
        <w:tc>
          <w:tcPr>
            <w:tcW w:w="3524" w:type="dxa"/>
          </w:tcPr>
          <w:p w:rsidR="001A1859" w:rsidRPr="00BF37B1" w:rsidRDefault="001A1859" w:rsidP="009E28DA">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1A1859" w:rsidRPr="00063155" w:rsidRDefault="001D52CC" w:rsidP="009E28DA">
            <w:pPr>
              <w:pStyle w:val="Heading9"/>
              <w:rPr>
                <w:rFonts w:ascii="Calibri" w:hAnsi="Calibri"/>
                <w:b w:val="0"/>
              </w:rPr>
            </w:pPr>
            <w:r w:rsidRPr="00063155">
              <w:rPr>
                <w:rFonts w:asciiTheme="minorHAnsi" w:hAnsiTheme="minorHAnsi"/>
                <w:b w:val="0"/>
              </w:rPr>
              <w:t>www.mida.gov.my</w:t>
            </w:r>
          </w:p>
        </w:tc>
        <w:tc>
          <w:tcPr>
            <w:tcW w:w="5670" w:type="dxa"/>
          </w:tcPr>
          <w:p w:rsidR="001A1859" w:rsidRPr="00063155" w:rsidRDefault="001A1859" w:rsidP="009E28DA">
            <w:pPr>
              <w:pStyle w:val="Heading9"/>
              <w:rPr>
                <w:rFonts w:ascii="Calibri" w:hAnsi="Calibri"/>
                <w:b w:val="0"/>
              </w:rPr>
            </w:pPr>
          </w:p>
        </w:tc>
      </w:tr>
      <w:tr w:rsidR="001A1859" w:rsidRPr="009E28DA">
        <w:tc>
          <w:tcPr>
            <w:tcW w:w="3524" w:type="dxa"/>
          </w:tcPr>
          <w:p w:rsidR="001A1859" w:rsidRPr="00BF37B1" w:rsidRDefault="001A1859" w:rsidP="009E28DA">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1A1859" w:rsidRPr="00063155" w:rsidRDefault="001D52CC" w:rsidP="009E28DA">
            <w:pPr>
              <w:pStyle w:val="Heading9"/>
              <w:rPr>
                <w:rFonts w:ascii="Calibri" w:hAnsi="Calibri"/>
                <w:b w:val="0"/>
              </w:rPr>
            </w:pPr>
            <w:proofErr w:type="spellStart"/>
            <w:r w:rsidRPr="00063155">
              <w:rPr>
                <w:rFonts w:asciiTheme="minorHAnsi" w:hAnsiTheme="minorHAnsi"/>
              </w:rPr>
              <w:t>Roeslina</w:t>
            </w:r>
            <w:proofErr w:type="spellEnd"/>
            <w:r w:rsidRPr="00063155">
              <w:rPr>
                <w:rFonts w:asciiTheme="minorHAnsi" w:hAnsiTheme="minorHAnsi"/>
              </w:rPr>
              <w:t xml:space="preserve"> Abbas -</w:t>
            </w:r>
            <w:r w:rsidRPr="00063155">
              <w:t xml:space="preserve"> </w:t>
            </w:r>
            <w:hyperlink r:id="rId9" w:history="1">
              <w:r w:rsidRPr="00063155">
                <w:rPr>
                  <w:rStyle w:val="Hyperlink"/>
                  <w:rFonts w:asciiTheme="minorHAnsi" w:hAnsiTheme="minorHAnsi"/>
                  <w:b w:val="0"/>
                  <w:color w:val="auto"/>
                </w:rPr>
                <w:t>roeslina@mida.gov.my</w:t>
              </w:r>
            </w:hyperlink>
            <w:r w:rsidRPr="00063155">
              <w:rPr>
                <w:rFonts w:asciiTheme="minorHAnsi" w:hAnsiTheme="minorHAnsi"/>
                <w:b w:val="0"/>
              </w:rPr>
              <w:t xml:space="preserve"> and </w:t>
            </w:r>
            <w:r w:rsidRPr="00063155">
              <w:rPr>
                <w:rFonts w:asciiTheme="minorHAnsi" w:hAnsiTheme="minorHAnsi"/>
              </w:rPr>
              <w:t xml:space="preserve">Mimi </w:t>
            </w:r>
            <w:proofErr w:type="spellStart"/>
            <w:r w:rsidRPr="00063155">
              <w:rPr>
                <w:rFonts w:asciiTheme="minorHAnsi" w:hAnsiTheme="minorHAnsi"/>
              </w:rPr>
              <w:t>Izura</w:t>
            </w:r>
            <w:proofErr w:type="spellEnd"/>
            <w:r w:rsidRPr="00063155">
              <w:rPr>
                <w:rFonts w:asciiTheme="minorHAnsi" w:hAnsiTheme="minorHAnsi"/>
              </w:rPr>
              <w:t xml:space="preserve"> -</w:t>
            </w:r>
            <w:r w:rsidRPr="00063155">
              <w:rPr>
                <w:rFonts w:asciiTheme="minorHAnsi" w:hAnsiTheme="minorHAnsi"/>
                <w:b w:val="0"/>
              </w:rPr>
              <w:t xml:space="preserve"> mimizura@mida.gov.my</w:t>
            </w:r>
          </w:p>
        </w:tc>
        <w:tc>
          <w:tcPr>
            <w:tcW w:w="5670" w:type="dxa"/>
          </w:tcPr>
          <w:p w:rsidR="001A1859" w:rsidRPr="00063155" w:rsidRDefault="001A1859" w:rsidP="009E28DA">
            <w:pPr>
              <w:pStyle w:val="Heading9"/>
              <w:rPr>
                <w:rFonts w:ascii="Calibri" w:hAnsi="Calibri"/>
                <w:b w:val="0"/>
              </w:rPr>
            </w:pPr>
          </w:p>
        </w:tc>
      </w:tr>
      <w:tr w:rsidR="001F22A2">
        <w:tc>
          <w:tcPr>
            <w:tcW w:w="3524" w:type="dxa"/>
          </w:tcPr>
          <w:p w:rsidR="001F22A2" w:rsidRPr="00BF37B1" w:rsidRDefault="001F22A2">
            <w:pPr>
              <w:rPr>
                <w:rFonts w:ascii="Calibri" w:hAnsi="Calibri"/>
                <w:b/>
                <w:i/>
                <w:sz w:val="20"/>
              </w:rPr>
            </w:pPr>
            <w:bookmarkStart w:id="13" w:name="Row5"/>
            <w:r w:rsidRPr="00BF37B1">
              <w:rPr>
                <w:rFonts w:ascii="Calibri" w:hAnsi="Calibri"/>
                <w:b/>
                <w:i/>
                <w:sz w:val="20"/>
              </w:rPr>
              <w:t>Standards and Conformance</w:t>
            </w:r>
            <w:bookmarkEnd w:id="13"/>
          </w:p>
          <w:p w:rsidR="001F22A2" w:rsidRPr="00BF37B1" w:rsidRDefault="001F22A2">
            <w:pPr>
              <w:rPr>
                <w:rFonts w:ascii="Calibri" w:hAnsi="Calibri"/>
                <w:b/>
                <w:i/>
                <w:sz w:val="20"/>
              </w:rPr>
            </w:pPr>
          </w:p>
        </w:tc>
        <w:tc>
          <w:tcPr>
            <w:tcW w:w="5387" w:type="dxa"/>
          </w:tcPr>
          <w:p w:rsidR="00BC2608" w:rsidRPr="00063155" w:rsidRDefault="00BC2608" w:rsidP="00BC2608">
            <w:pPr>
              <w:rPr>
                <w:rFonts w:ascii="Calibri" w:hAnsi="Calibri" w:cs="Arial"/>
                <w:i/>
                <w:sz w:val="20"/>
                <w:lang w:val="en-MY"/>
              </w:rPr>
            </w:pPr>
            <w:bookmarkStart w:id="14" w:name="Cell09"/>
            <w:bookmarkEnd w:id="14"/>
            <w:r w:rsidRPr="00063155">
              <w:rPr>
                <w:rFonts w:ascii="Calibri" w:hAnsi="Calibri" w:cs="Arial"/>
                <w:i/>
                <w:sz w:val="20"/>
                <w:lang w:val="en-MY"/>
              </w:rPr>
              <w:t>The total Malaysian Standard (MS) developed was 6,308 with the percentage of MS alignment with international standard was 62.08%.</w:t>
            </w:r>
          </w:p>
          <w:p w:rsidR="00BC2608" w:rsidRPr="00063155" w:rsidRDefault="00BC2608" w:rsidP="00BC2608">
            <w:pPr>
              <w:rPr>
                <w:rFonts w:ascii="Calibri" w:hAnsi="Calibri" w:cs="Arial"/>
                <w:i/>
                <w:sz w:val="20"/>
                <w:lang w:val="en-MY"/>
              </w:rPr>
            </w:pPr>
          </w:p>
          <w:p w:rsidR="00BC2608" w:rsidRPr="00063155" w:rsidRDefault="00BC2608" w:rsidP="00BC2608">
            <w:pPr>
              <w:rPr>
                <w:rFonts w:ascii="Calibri" w:hAnsi="Calibri" w:cs="Arial"/>
                <w:i/>
                <w:sz w:val="20"/>
                <w:lang w:val="en-MY"/>
              </w:rPr>
            </w:pPr>
            <w:r w:rsidRPr="00063155">
              <w:rPr>
                <w:rFonts w:ascii="Calibri" w:hAnsi="Calibri" w:cs="Arial"/>
                <w:i/>
                <w:sz w:val="20"/>
                <w:lang w:val="en-MY"/>
              </w:rPr>
              <w:t xml:space="preserve">For the ISO, the total number of </w:t>
            </w:r>
            <w:proofErr w:type="gramStart"/>
            <w:r w:rsidRPr="00063155">
              <w:rPr>
                <w:rFonts w:ascii="Calibri" w:hAnsi="Calibri" w:cs="Arial"/>
                <w:i/>
                <w:sz w:val="20"/>
                <w:lang w:val="en-MY"/>
              </w:rPr>
              <w:t>Participating  (</w:t>
            </w:r>
            <w:proofErr w:type="gramEnd"/>
            <w:r w:rsidRPr="00063155">
              <w:rPr>
                <w:rFonts w:ascii="Calibri" w:hAnsi="Calibri" w:cs="Arial"/>
                <w:i/>
                <w:sz w:val="20"/>
                <w:lang w:val="en-MY"/>
              </w:rPr>
              <w:t>P) membership is 134  while the total of Observer (O) membership is 130.</w:t>
            </w:r>
          </w:p>
          <w:p w:rsidR="00BC2608" w:rsidRPr="00063155" w:rsidRDefault="00BC2608" w:rsidP="00BC2608">
            <w:pPr>
              <w:rPr>
                <w:rFonts w:ascii="Calibri" w:hAnsi="Calibri" w:cs="Arial"/>
                <w:i/>
                <w:sz w:val="20"/>
                <w:lang w:val="en-MY"/>
              </w:rPr>
            </w:pPr>
          </w:p>
          <w:p w:rsidR="00BC2608" w:rsidRPr="00063155" w:rsidRDefault="00BC2608" w:rsidP="00BC2608">
            <w:pPr>
              <w:rPr>
                <w:rFonts w:ascii="Calibri" w:hAnsi="Calibri" w:cs="Arial"/>
                <w:i/>
                <w:sz w:val="20"/>
                <w:lang w:val="en-MY"/>
              </w:rPr>
            </w:pPr>
            <w:r w:rsidRPr="00063155">
              <w:rPr>
                <w:rFonts w:ascii="Calibri" w:hAnsi="Calibri" w:cs="Arial"/>
                <w:i/>
                <w:sz w:val="20"/>
                <w:lang w:val="en-MY"/>
              </w:rPr>
              <w:t>For the IEC, the total number of Participating  (P) membership is 26 while the total of Observer (O) membership is 76</w:t>
            </w:r>
          </w:p>
          <w:p w:rsidR="00BC2608" w:rsidRPr="00063155" w:rsidRDefault="00BC2608" w:rsidP="00BC2608">
            <w:pPr>
              <w:rPr>
                <w:rFonts w:ascii="Calibri" w:hAnsi="Calibri" w:cs="Arial"/>
                <w:i/>
                <w:sz w:val="20"/>
                <w:lang w:val="en-MY"/>
              </w:rPr>
            </w:pPr>
          </w:p>
          <w:p w:rsidR="00BC2608" w:rsidRPr="00063155" w:rsidRDefault="00BC2608" w:rsidP="00BC2608">
            <w:pPr>
              <w:rPr>
                <w:rFonts w:ascii="Calibri" w:hAnsi="Calibri" w:cs="Arial"/>
                <w:i/>
                <w:sz w:val="20"/>
                <w:lang w:val="en-MY"/>
              </w:rPr>
            </w:pPr>
            <w:r w:rsidRPr="00063155">
              <w:rPr>
                <w:rFonts w:ascii="Calibri" w:hAnsi="Calibri" w:cs="Arial"/>
                <w:i/>
                <w:sz w:val="20"/>
                <w:lang w:val="en-MY"/>
              </w:rPr>
              <w:t>STANDARDS MALAYSIA became host for the following meetings.</w:t>
            </w:r>
          </w:p>
          <w:p w:rsidR="00BC2608" w:rsidRPr="00063155" w:rsidRDefault="00BC2608" w:rsidP="00BC2608">
            <w:pPr>
              <w:numPr>
                <w:ilvl w:val="0"/>
                <w:numId w:val="24"/>
              </w:numPr>
              <w:rPr>
                <w:rFonts w:ascii="Calibri" w:hAnsi="Calibri" w:cs="Arial"/>
                <w:i/>
                <w:sz w:val="20"/>
                <w:lang w:val="en-MY"/>
              </w:rPr>
            </w:pPr>
            <w:r w:rsidRPr="00063155">
              <w:rPr>
                <w:rFonts w:ascii="Calibri" w:hAnsi="Calibri" w:cs="Arial"/>
                <w:i/>
                <w:sz w:val="20"/>
                <w:lang w:val="en-MY"/>
              </w:rPr>
              <w:t>ISO/TC 61 on Plastics Products</w:t>
            </w:r>
          </w:p>
          <w:p w:rsidR="00BC2608" w:rsidRPr="00063155" w:rsidRDefault="00BC2608" w:rsidP="00BC2608">
            <w:pPr>
              <w:numPr>
                <w:ilvl w:val="0"/>
                <w:numId w:val="24"/>
              </w:numPr>
              <w:rPr>
                <w:rFonts w:ascii="Calibri" w:hAnsi="Calibri" w:cs="Arial"/>
                <w:i/>
                <w:sz w:val="20"/>
                <w:lang w:val="en-MY"/>
              </w:rPr>
            </w:pPr>
            <w:r w:rsidRPr="00063155">
              <w:rPr>
                <w:rFonts w:ascii="Calibri" w:hAnsi="Calibri" w:cs="Arial"/>
                <w:i/>
                <w:sz w:val="20"/>
                <w:lang w:val="en-MY"/>
              </w:rPr>
              <w:t>ISO/TC 228/WG 1</w:t>
            </w:r>
          </w:p>
          <w:p w:rsidR="00BC2608" w:rsidRPr="00063155" w:rsidRDefault="00BC2608" w:rsidP="00BC2608">
            <w:pPr>
              <w:rPr>
                <w:rFonts w:ascii="Calibri" w:hAnsi="Calibri" w:cs="Arial"/>
                <w:i/>
                <w:sz w:val="20"/>
                <w:lang w:val="en-MY"/>
              </w:rPr>
            </w:pPr>
          </w:p>
          <w:p w:rsidR="00BC2608" w:rsidRPr="00063155" w:rsidRDefault="00BC2608" w:rsidP="00BC2608">
            <w:pPr>
              <w:rPr>
                <w:rFonts w:ascii="Calibri" w:hAnsi="Calibri" w:cs="Arial"/>
                <w:i/>
                <w:sz w:val="20"/>
                <w:lang w:val="en-MY"/>
              </w:rPr>
            </w:pPr>
            <w:r w:rsidRPr="00063155">
              <w:rPr>
                <w:rFonts w:ascii="Calibri" w:hAnsi="Calibri" w:cs="Arial"/>
                <w:i/>
                <w:sz w:val="20"/>
                <w:lang w:val="en-MY"/>
              </w:rPr>
              <w:t>Malaysia is the convenor for the following working groups:</w:t>
            </w:r>
          </w:p>
          <w:p w:rsidR="00BC2608" w:rsidRPr="00063155" w:rsidRDefault="00BC2608" w:rsidP="00BC2608">
            <w:pPr>
              <w:numPr>
                <w:ilvl w:val="0"/>
                <w:numId w:val="25"/>
              </w:numPr>
              <w:rPr>
                <w:rFonts w:ascii="Calibri" w:hAnsi="Calibri" w:cs="Arial"/>
                <w:i/>
                <w:sz w:val="20"/>
                <w:lang w:val="en-MY"/>
              </w:rPr>
            </w:pPr>
            <w:r w:rsidRPr="00063155">
              <w:rPr>
                <w:rFonts w:ascii="Calibri" w:hAnsi="Calibri" w:cs="Arial"/>
                <w:i/>
                <w:sz w:val="20"/>
                <w:lang w:val="en-MY"/>
              </w:rPr>
              <w:t>ISO/TC 45/SC 3/WG 4</w:t>
            </w:r>
          </w:p>
          <w:p w:rsidR="00BC2608" w:rsidRPr="00063155" w:rsidRDefault="00BC2608" w:rsidP="00BC2608">
            <w:pPr>
              <w:numPr>
                <w:ilvl w:val="0"/>
                <w:numId w:val="25"/>
              </w:numPr>
              <w:rPr>
                <w:rFonts w:ascii="Calibri" w:hAnsi="Calibri" w:cs="Arial"/>
                <w:i/>
                <w:sz w:val="20"/>
                <w:lang w:val="en-MY"/>
              </w:rPr>
            </w:pPr>
            <w:r w:rsidRPr="00063155">
              <w:rPr>
                <w:rFonts w:ascii="Calibri" w:hAnsi="Calibri" w:cs="Arial"/>
                <w:i/>
                <w:sz w:val="20"/>
                <w:lang w:val="en-MY"/>
              </w:rPr>
              <w:t>ISO/TC 45/SC 4/ WG 5</w:t>
            </w:r>
          </w:p>
          <w:p w:rsidR="00BC2608" w:rsidRPr="00063155" w:rsidRDefault="00BC2608" w:rsidP="00BC2608">
            <w:pPr>
              <w:numPr>
                <w:ilvl w:val="0"/>
                <w:numId w:val="25"/>
              </w:numPr>
              <w:rPr>
                <w:rFonts w:ascii="Calibri" w:hAnsi="Calibri" w:cs="Arial"/>
                <w:i/>
                <w:sz w:val="20"/>
                <w:lang w:val="en-MY"/>
              </w:rPr>
            </w:pPr>
            <w:r w:rsidRPr="00063155">
              <w:rPr>
                <w:rFonts w:ascii="Calibri" w:hAnsi="Calibri" w:cs="Arial"/>
                <w:i/>
                <w:sz w:val="20"/>
                <w:lang w:val="en-MY"/>
              </w:rPr>
              <w:t>ISO/TC 61/ SC 2/ WG 2</w:t>
            </w:r>
          </w:p>
          <w:p w:rsidR="00BC2608" w:rsidRPr="00063155" w:rsidRDefault="00BC2608" w:rsidP="00BC2608">
            <w:pPr>
              <w:numPr>
                <w:ilvl w:val="0"/>
                <w:numId w:val="25"/>
              </w:numPr>
              <w:rPr>
                <w:rFonts w:ascii="Calibri" w:hAnsi="Calibri" w:cs="Arial"/>
                <w:i/>
                <w:sz w:val="20"/>
                <w:lang w:val="en-MY"/>
              </w:rPr>
            </w:pPr>
            <w:r w:rsidRPr="00063155">
              <w:rPr>
                <w:rFonts w:ascii="Calibri" w:hAnsi="Calibri" w:cs="Arial"/>
                <w:i/>
                <w:sz w:val="20"/>
                <w:lang w:val="en-MY"/>
              </w:rPr>
              <w:t>ISO/TC 157/CAG</w:t>
            </w:r>
          </w:p>
          <w:p w:rsidR="00BC2608" w:rsidRPr="00063155" w:rsidRDefault="00BC2608" w:rsidP="00BC2608">
            <w:pPr>
              <w:numPr>
                <w:ilvl w:val="0"/>
                <w:numId w:val="25"/>
              </w:numPr>
              <w:rPr>
                <w:rFonts w:ascii="Calibri" w:hAnsi="Calibri" w:cs="Arial"/>
                <w:i/>
                <w:sz w:val="20"/>
                <w:lang w:val="en-MY"/>
              </w:rPr>
            </w:pPr>
            <w:r w:rsidRPr="00063155">
              <w:rPr>
                <w:rFonts w:ascii="Calibri" w:hAnsi="Calibri" w:cs="Arial"/>
                <w:i/>
                <w:sz w:val="20"/>
                <w:lang w:val="en-MY"/>
              </w:rPr>
              <w:t>ISO/TC 218/WG4</w:t>
            </w:r>
          </w:p>
          <w:p w:rsidR="00BC2608" w:rsidRPr="00063155" w:rsidRDefault="00BC2608" w:rsidP="00BC2608">
            <w:pPr>
              <w:rPr>
                <w:rFonts w:ascii="Calibri" w:hAnsi="Calibri" w:cs="Arial"/>
                <w:i/>
                <w:sz w:val="20"/>
                <w:lang w:val="en-MY"/>
              </w:rPr>
            </w:pPr>
          </w:p>
          <w:p w:rsidR="00BC2608" w:rsidRPr="00063155" w:rsidRDefault="00BC2608" w:rsidP="00BC2608">
            <w:pPr>
              <w:rPr>
                <w:rFonts w:ascii="Calibri" w:hAnsi="Calibri" w:cs="Arial"/>
                <w:i/>
                <w:sz w:val="20"/>
                <w:lang w:val="en-MY"/>
              </w:rPr>
            </w:pPr>
            <w:r w:rsidRPr="00063155">
              <w:rPr>
                <w:rFonts w:ascii="Calibri" w:hAnsi="Calibri" w:cs="Arial"/>
                <w:i/>
                <w:sz w:val="20"/>
                <w:lang w:val="en-MY"/>
              </w:rPr>
              <w:t>The total number of accreditation schemes are 4:</w:t>
            </w:r>
          </w:p>
          <w:p w:rsidR="00BC2608" w:rsidRPr="00063155" w:rsidRDefault="00BC2608" w:rsidP="00BC2608">
            <w:pPr>
              <w:numPr>
                <w:ilvl w:val="0"/>
                <w:numId w:val="31"/>
              </w:numPr>
              <w:rPr>
                <w:rFonts w:ascii="Calibri" w:hAnsi="Calibri" w:cs="Arial"/>
                <w:i/>
                <w:sz w:val="20"/>
                <w:lang w:val="en-MY"/>
              </w:rPr>
            </w:pPr>
            <w:r w:rsidRPr="00063155">
              <w:rPr>
                <w:rFonts w:ascii="Calibri" w:hAnsi="Calibri" w:cs="Arial"/>
                <w:i/>
                <w:sz w:val="20"/>
                <w:lang w:val="en-MY"/>
              </w:rPr>
              <w:t>Accreditation for Certification Bodies (ACB)</w:t>
            </w:r>
          </w:p>
          <w:p w:rsidR="00BC2608" w:rsidRPr="00063155" w:rsidRDefault="00BC2608" w:rsidP="00BC2608">
            <w:pPr>
              <w:numPr>
                <w:ilvl w:val="0"/>
                <w:numId w:val="31"/>
              </w:numPr>
              <w:rPr>
                <w:rFonts w:ascii="Calibri" w:hAnsi="Calibri" w:cs="Arial"/>
                <w:i/>
                <w:sz w:val="20"/>
                <w:lang w:val="en-US"/>
              </w:rPr>
            </w:pPr>
            <w:r w:rsidRPr="00063155">
              <w:rPr>
                <w:rFonts w:ascii="Calibri" w:hAnsi="Calibri" w:cs="Arial"/>
                <w:i/>
                <w:sz w:val="20"/>
                <w:lang w:val="en-US"/>
              </w:rPr>
              <w:t>Laboratory Accreditation Scheme of  Malaysia (SAMM)</w:t>
            </w:r>
          </w:p>
          <w:p w:rsidR="00BC2608" w:rsidRPr="00063155" w:rsidRDefault="00BC2608" w:rsidP="00BC2608">
            <w:pPr>
              <w:numPr>
                <w:ilvl w:val="0"/>
                <w:numId w:val="31"/>
              </w:numPr>
              <w:rPr>
                <w:rFonts w:ascii="Calibri" w:hAnsi="Calibri" w:cs="Arial"/>
                <w:i/>
                <w:sz w:val="20"/>
                <w:lang w:val="en-US"/>
              </w:rPr>
            </w:pPr>
            <w:r w:rsidRPr="00063155">
              <w:rPr>
                <w:rFonts w:ascii="Calibri" w:hAnsi="Calibri" w:cs="Arial"/>
                <w:i/>
                <w:sz w:val="20"/>
                <w:lang w:val="en-US"/>
              </w:rPr>
              <w:t xml:space="preserve">Malaysia Inspection Bodies Accreditation Scheme (MIBAS) </w:t>
            </w:r>
          </w:p>
          <w:p w:rsidR="00BC2608" w:rsidRPr="00063155" w:rsidRDefault="00BC2608" w:rsidP="00BC2608">
            <w:pPr>
              <w:numPr>
                <w:ilvl w:val="0"/>
                <w:numId w:val="31"/>
              </w:numPr>
              <w:rPr>
                <w:rFonts w:ascii="Calibri" w:hAnsi="Calibri" w:cs="Arial"/>
                <w:i/>
                <w:sz w:val="20"/>
                <w:lang w:val="en-MY"/>
              </w:rPr>
            </w:pPr>
            <w:r w:rsidRPr="00063155">
              <w:rPr>
                <w:rFonts w:ascii="Calibri" w:hAnsi="Calibri" w:cs="Arial"/>
                <w:i/>
                <w:sz w:val="20"/>
                <w:lang w:val="en-US"/>
              </w:rPr>
              <w:t>GLP Compliance Programme (GLP CP)</w:t>
            </w:r>
          </w:p>
          <w:p w:rsidR="00BC2608" w:rsidRPr="00063155" w:rsidRDefault="00BC2608" w:rsidP="00BC2608">
            <w:pPr>
              <w:rPr>
                <w:rFonts w:ascii="Calibri" w:hAnsi="Calibri" w:cs="Arial"/>
                <w:i/>
                <w:sz w:val="20"/>
                <w:lang w:val="en-US"/>
              </w:rPr>
            </w:pPr>
          </w:p>
          <w:p w:rsidR="00BC2608" w:rsidRPr="00063155" w:rsidRDefault="00BC2608" w:rsidP="00BC2608">
            <w:pPr>
              <w:rPr>
                <w:rFonts w:ascii="Calibri" w:hAnsi="Calibri" w:cs="Arial"/>
                <w:i/>
                <w:sz w:val="20"/>
                <w:lang w:val="en-US"/>
              </w:rPr>
            </w:pPr>
            <w:r w:rsidRPr="00063155">
              <w:rPr>
                <w:rFonts w:ascii="Calibri" w:hAnsi="Calibri" w:cs="Arial"/>
                <w:i/>
                <w:sz w:val="20"/>
                <w:lang w:val="en-US"/>
              </w:rPr>
              <w:t>There are 3 new accreditation programs for SAMM :</w:t>
            </w:r>
          </w:p>
          <w:p w:rsidR="00BC2608" w:rsidRPr="00063155" w:rsidRDefault="00BC2608" w:rsidP="00BC2608">
            <w:pPr>
              <w:numPr>
                <w:ilvl w:val="0"/>
                <w:numId w:val="26"/>
              </w:numPr>
              <w:ind w:left="763" w:hanging="403"/>
              <w:rPr>
                <w:rFonts w:ascii="Calibri" w:hAnsi="Calibri" w:cs="Arial"/>
                <w:i/>
                <w:sz w:val="20"/>
                <w:lang w:val="en-US"/>
              </w:rPr>
            </w:pPr>
            <w:r w:rsidRPr="00063155">
              <w:rPr>
                <w:rFonts w:ascii="Calibri" w:hAnsi="Calibri" w:cs="Arial"/>
                <w:i/>
                <w:sz w:val="20"/>
                <w:lang w:val="en-US"/>
              </w:rPr>
              <w:t>Accreditation of Information Technology Security Evaluation and Testing: Common Criteria</w:t>
            </w:r>
          </w:p>
          <w:p w:rsidR="00BC2608" w:rsidRPr="00063155" w:rsidRDefault="00BC2608" w:rsidP="00BC2608">
            <w:pPr>
              <w:numPr>
                <w:ilvl w:val="0"/>
                <w:numId w:val="26"/>
              </w:numPr>
              <w:ind w:left="763" w:hanging="403"/>
              <w:rPr>
                <w:rFonts w:ascii="Calibri" w:hAnsi="Calibri" w:cs="Arial"/>
                <w:i/>
                <w:sz w:val="20"/>
                <w:lang w:val="en-US"/>
              </w:rPr>
            </w:pPr>
            <w:r w:rsidRPr="00063155">
              <w:rPr>
                <w:rFonts w:ascii="Calibri" w:hAnsi="Calibri" w:cs="Arial"/>
                <w:i/>
                <w:sz w:val="20"/>
                <w:lang w:val="en-US"/>
              </w:rPr>
              <w:t>Analysis of Dangerous Drugs and other Controlled Substances for Forensic Science Testing Laboratories</w:t>
            </w:r>
          </w:p>
          <w:p w:rsidR="00BC2608" w:rsidRPr="00063155" w:rsidRDefault="00BC2608" w:rsidP="00BC2608">
            <w:pPr>
              <w:numPr>
                <w:ilvl w:val="0"/>
                <w:numId w:val="26"/>
              </w:numPr>
              <w:ind w:left="763" w:hanging="403"/>
              <w:rPr>
                <w:rFonts w:ascii="Calibri" w:hAnsi="Calibri" w:cs="Arial"/>
                <w:i/>
                <w:sz w:val="20"/>
                <w:lang w:val="en-US"/>
              </w:rPr>
            </w:pPr>
            <w:r w:rsidRPr="00063155">
              <w:rPr>
                <w:rFonts w:ascii="Calibri" w:hAnsi="Calibri" w:cs="Arial"/>
                <w:i/>
                <w:sz w:val="20"/>
                <w:lang w:val="en-US"/>
              </w:rPr>
              <w:t>Trace Evidence for Forensic Science Testing Laboratories</w:t>
            </w:r>
          </w:p>
          <w:p w:rsidR="00BC2608" w:rsidRPr="00063155" w:rsidRDefault="00BC2608" w:rsidP="00BC2608">
            <w:pPr>
              <w:rPr>
                <w:rFonts w:ascii="Calibri" w:hAnsi="Calibri" w:cs="Arial"/>
                <w:i/>
                <w:sz w:val="20"/>
                <w:lang w:val="en-US"/>
              </w:rPr>
            </w:pPr>
          </w:p>
          <w:p w:rsidR="00BC2608" w:rsidRPr="00063155" w:rsidRDefault="00BC2608" w:rsidP="00BC2608">
            <w:pPr>
              <w:rPr>
                <w:rFonts w:ascii="Calibri" w:hAnsi="Calibri" w:cs="Arial"/>
                <w:i/>
                <w:sz w:val="20"/>
                <w:lang w:val="en-MY"/>
              </w:rPr>
            </w:pPr>
            <w:r w:rsidRPr="00063155">
              <w:rPr>
                <w:rFonts w:ascii="Calibri" w:hAnsi="Calibri" w:cs="Arial"/>
                <w:i/>
                <w:sz w:val="20"/>
                <w:lang w:val="en-MY"/>
              </w:rPr>
              <w:t xml:space="preserve">There are 3 new accreditation programs for Accreditation for Certification Bodies (ACB): </w:t>
            </w:r>
          </w:p>
          <w:p w:rsidR="00BC2608" w:rsidRPr="00063155" w:rsidRDefault="00BC2608" w:rsidP="00BC2608">
            <w:pPr>
              <w:numPr>
                <w:ilvl w:val="0"/>
                <w:numId w:val="30"/>
              </w:numPr>
              <w:rPr>
                <w:rFonts w:ascii="Calibri" w:hAnsi="Calibri" w:cs="Arial"/>
                <w:i/>
                <w:sz w:val="20"/>
                <w:lang w:val="en-MY"/>
              </w:rPr>
            </w:pPr>
            <w:r w:rsidRPr="00063155">
              <w:rPr>
                <w:rFonts w:ascii="Calibri" w:hAnsi="Calibri" w:cs="Arial"/>
                <w:i/>
                <w:sz w:val="20"/>
                <w:lang w:val="en-MY"/>
              </w:rPr>
              <w:t>Forest Management Certification</w:t>
            </w:r>
          </w:p>
          <w:p w:rsidR="00BC2608" w:rsidRPr="00063155" w:rsidRDefault="00BC2608" w:rsidP="00BC2608">
            <w:pPr>
              <w:numPr>
                <w:ilvl w:val="0"/>
                <w:numId w:val="30"/>
              </w:numPr>
              <w:rPr>
                <w:rFonts w:ascii="Calibri" w:hAnsi="Calibri" w:cs="Arial"/>
                <w:i/>
                <w:sz w:val="20"/>
                <w:lang w:val="en-MY"/>
              </w:rPr>
            </w:pPr>
            <w:r w:rsidRPr="00063155">
              <w:rPr>
                <w:rFonts w:ascii="Calibri" w:hAnsi="Calibri" w:cs="Arial"/>
                <w:i/>
                <w:sz w:val="20"/>
                <w:lang w:val="en-MY"/>
              </w:rPr>
              <w:t>Oil Palm Supply Chain Management System</w:t>
            </w:r>
          </w:p>
          <w:p w:rsidR="00BC2608" w:rsidRPr="00063155" w:rsidRDefault="00BC2608" w:rsidP="00BC2608">
            <w:pPr>
              <w:numPr>
                <w:ilvl w:val="0"/>
                <w:numId w:val="30"/>
              </w:numPr>
              <w:rPr>
                <w:rFonts w:ascii="Calibri" w:hAnsi="Calibri" w:cs="Arial"/>
                <w:i/>
                <w:sz w:val="20"/>
                <w:lang w:val="en-MY"/>
              </w:rPr>
            </w:pPr>
            <w:r w:rsidRPr="00063155">
              <w:rPr>
                <w:rFonts w:ascii="Calibri" w:hAnsi="Calibri" w:cs="Arial"/>
                <w:i/>
                <w:sz w:val="20"/>
                <w:lang w:val="en-MY"/>
              </w:rPr>
              <w:t xml:space="preserve">Work Environment </w:t>
            </w:r>
            <w:proofErr w:type="spellStart"/>
            <w:r w:rsidRPr="00063155">
              <w:rPr>
                <w:rFonts w:ascii="Calibri" w:hAnsi="Calibri" w:cs="Arial"/>
                <w:i/>
                <w:sz w:val="20"/>
                <w:lang w:val="en-MY"/>
              </w:rPr>
              <w:t>Mangement</w:t>
            </w:r>
            <w:proofErr w:type="spellEnd"/>
            <w:r w:rsidRPr="00063155">
              <w:rPr>
                <w:rFonts w:ascii="Calibri" w:hAnsi="Calibri" w:cs="Arial"/>
                <w:i/>
                <w:sz w:val="20"/>
                <w:lang w:val="en-MY"/>
              </w:rPr>
              <w:t xml:space="preserve"> System</w:t>
            </w:r>
          </w:p>
          <w:p w:rsidR="00BC2608" w:rsidRPr="00063155" w:rsidRDefault="00BC2608" w:rsidP="00BC2608">
            <w:pPr>
              <w:rPr>
                <w:rFonts w:ascii="Calibri" w:hAnsi="Calibri" w:cs="Arial"/>
                <w:i/>
                <w:sz w:val="20"/>
                <w:lang w:val="en-US"/>
              </w:rPr>
            </w:pPr>
          </w:p>
          <w:p w:rsidR="00BC2608" w:rsidRPr="00063155" w:rsidRDefault="00BC2608" w:rsidP="00BC2608">
            <w:pPr>
              <w:rPr>
                <w:rFonts w:ascii="Calibri" w:hAnsi="Calibri" w:cs="Arial"/>
                <w:i/>
                <w:sz w:val="20"/>
                <w:lang w:val="en-US"/>
              </w:rPr>
            </w:pPr>
            <w:r w:rsidRPr="00063155">
              <w:rPr>
                <w:rFonts w:ascii="Calibri" w:hAnsi="Calibri" w:cs="Arial"/>
                <w:i/>
                <w:sz w:val="20"/>
                <w:lang w:val="en-US"/>
              </w:rPr>
              <w:t>The total number of accredited laboratories is 542, of which 449 remained active.</w:t>
            </w:r>
          </w:p>
          <w:p w:rsidR="00BC2608" w:rsidRPr="00063155" w:rsidRDefault="00BC2608" w:rsidP="00BC2608">
            <w:pPr>
              <w:rPr>
                <w:rFonts w:ascii="Calibri" w:hAnsi="Calibri" w:cs="Arial"/>
                <w:i/>
                <w:sz w:val="20"/>
                <w:lang w:val="en-US"/>
              </w:rPr>
            </w:pPr>
          </w:p>
          <w:p w:rsidR="00BC2608" w:rsidRPr="00063155" w:rsidRDefault="00BC2608" w:rsidP="00BC2608">
            <w:pPr>
              <w:rPr>
                <w:rFonts w:ascii="Calibri" w:hAnsi="Calibri" w:cs="Arial"/>
                <w:i/>
                <w:sz w:val="20"/>
              </w:rPr>
            </w:pPr>
            <w:r w:rsidRPr="00063155">
              <w:rPr>
                <w:rFonts w:ascii="Calibri" w:hAnsi="Calibri" w:cs="Arial"/>
                <w:i/>
                <w:sz w:val="20"/>
                <w:lang w:val="en-US"/>
              </w:rPr>
              <w:t xml:space="preserve">The total number of </w:t>
            </w:r>
            <w:r w:rsidRPr="00063155">
              <w:rPr>
                <w:rFonts w:ascii="Calibri" w:hAnsi="Calibri" w:cs="Arial"/>
                <w:i/>
                <w:sz w:val="20"/>
              </w:rPr>
              <w:t>accredited certification bodies are as follows:</w:t>
            </w:r>
          </w:p>
          <w:p w:rsidR="00BC2608" w:rsidRPr="00063155" w:rsidRDefault="00BC2608" w:rsidP="00BC2608">
            <w:pPr>
              <w:rPr>
                <w:rFonts w:ascii="Calibri" w:hAnsi="Calibri" w:cs="Arial"/>
                <w:i/>
                <w:sz w:val="20"/>
                <w:lang w:val="en-US"/>
              </w:rPr>
            </w:pPr>
          </w:p>
          <w:p w:rsidR="00BC2608" w:rsidRPr="00063155" w:rsidRDefault="00BC2608" w:rsidP="00BC2608">
            <w:pPr>
              <w:numPr>
                <w:ilvl w:val="0"/>
                <w:numId w:val="29"/>
              </w:numPr>
              <w:rPr>
                <w:rFonts w:ascii="Calibri" w:hAnsi="Calibri" w:cs="Arial"/>
                <w:i/>
                <w:sz w:val="20"/>
                <w:lang w:val="en-US"/>
              </w:rPr>
            </w:pPr>
            <w:r w:rsidRPr="00063155">
              <w:rPr>
                <w:rFonts w:ascii="Calibri" w:hAnsi="Calibri" w:cs="Arial"/>
                <w:i/>
                <w:sz w:val="20"/>
                <w:lang w:val="en-US"/>
              </w:rPr>
              <w:t>QMS - 14</w:t>
            </w:r>
          </w:p>
          <w:p w:rsidR="00BC2608" w:rsidRPr="00063155" w:rsidRDefault="00BC2608" w:rsidP="00BC2608">
            <w:pPr>
              <w:numPr>
                <w:ilvl w:val="0"/>
                <w:numId w:val="29"/>
              </w:numPr>
              <w:rPr>
                <w:rFonts w:ascii="Calibri" w:hAnsi="Calibri" w:cs="Arial"/>
                <w:i/>
                <w:sz w:val="20"/>
                <w:lang w:val="en-US"/>
              </w:rPr>
            </w:pPr>
            <w:r w:rsidRPr="00063155">
              <w:rPr>
                <w:rFonts w:ascii="Calibri" w:hAnsi="Calibri" w:cs="Arial"/>
                <w:i/>
                <w:sz w:val="20"/>
                <w:lang w:val="en-US"/>
              </w:rPr>
              <w:t>EMS - 6</w:t>
            </w:r>
          </w:p>
          <w:p w:rsidR="00BC2608" w:rsidRPr="00063155" w:rsidRDefault="00BC2608" w:rsidP="00BC2608">
            <w:pPr>
              <w:numPr>
                <w:ilvl w:val="0"/>
                <w:numId w:val="29"/>
              </w:numPr>
              <w:rPr>
                <w:rFonts w:ascii="Calibri" w:hAnsi="Calibri" w:cs="Arial"/>
                <w:i/>
                <w:sz w:val="20"/>
                <w:lang w:val="en-US"/>
              </w:rPr>
            </w:pPr>
            <w:r w:rsidRPr="00063155">
              <w:rPr>
                <w:rFonts w:ascii="Calibri" w:hAnsi="Calibri" w:cs="Arial"/>
                <w:i/>
                <w:sz w:val="20"/>
                <w:lang w:val="en-US"/>
              </w:rPr>
              <w:t>Product Certification (PC) – 5</w:t>
            </w:r>
          </w:p>
          <w:p w:rsidR="00BC2608" w:rsidRPr="00063155" w:rsidRDefault="00BC2608" w:rsidP="00BC2608">
            <w:pPr>
              <w:numPr>
                <w:ilvl w:val="0"/>
                <w:numId w:val="29"/>
              </w:numPr>
              <w:rPr>
                <w:rFonts w:ascii="Calibri" w:hAnsi="Calibri" w:cs="Arial"/>
                <w:i/>
                <w:sz w:val="20"/>
                <w:lang w:val="en-US"/>
              </w:rPr>
            </w:pPr>
            <w:r w:rsidRPr="00063155">
              <w:rPr>
                <w:rFonts w:ascii="Calibri" w:hAnsi="Calibri" w:cs="Arial"/>
                <w:i/>
                <w:sz w:val="20"/>
                <w:lang w:val="en-US"/>
              </w:rPr>
              <w:t>Occupational Safety &amp; Health (OSH) – 7</w:t>
            </w:r>
          </w:p>
          <w:p w:rsidR="00BC2608" w:rsidRPr="00063155" w:rsidRDefault="00BC2608" w:rsidP="00BC2608">
            <w:pPr>
              <w:numPr>
                <w:ilvl w:val="0"/>
                <w:numId w:val="29"/>
              </w:numPr>
              <w:rPr>
                <w:rFonts w:ascii="Calibri" w:hAnsi="Calibri" w:cs="Arial"/>
                <w:i/>
                <w:sz w:val="20"/>
                <w:lang w:val="en-US"/>
              </w:rPr>
            </w:pPr>
            <w:r w:rsidRPr="00063155">
              <w:rPr>
                <w:rFonts w:ascii="Calibri" w:hAnsi="Calibri" w:cs="Arial"/>
                <w:i/>
                <w:sz w:val="20"/>
                <w:lang w:val="en-US"/>
              </w:rPr>
              <w:t>HACCP – 3</w:t>
            </w:r>
          </w:p>
          <w:p w:rsidR="00BC2608" w:rsidRPr="00063155" w:rsidRDefault="00BC2608" w:rsidP="00BC2608">
            <w:pPr>
              <w:numPr>
                <w:ilvl w:val="0"/>
                <w:numId w:val="29"/>
              </w:numPr>
              <w:rPr>
                <w:rFonts w:ascii="Calibri" w:hAnsi="Calibri" w:cs="Arial"/>
                <w:i/>
                <w:sz w:val="20"/>
                <w:lang w:val="en-US"/>
              </w:rPr>
            </w:pPr>
            <w:r w:rsidRPr="00063155">
              <w:rPr>
                <w:rFonts w:ascii="Calibri" w:hAnsi="Calibri" w:cs="Arial"/>
                <w:i/>
                <w:sz w:val="20"/>
                <w:lang w:val="en-US"/>
              </w:rPr>
              <w:t>Food Safety Management Systems (FSMS) – 4</w:t>
            </w:r>
          </w:p>
          <w:p w:rsidR="00BC2608" w:rsidRPr="00063155" w:rsidRDefault="00BC2608" w:rsidP="00BC2608">
            <w:pPr>
              <w:numPr>
                <w:ilvl w:val="0"/>
                <w:numId w:val="29"/>
              </w:numPr>
              <w:rPr>
                <w:rFonts w:ascii="Calibri" w:hAnsi="Calibri" w:cs="Arial"/>
                <w:i/>
                <w:sz w:val="20"/>
                <w:lang w:val="en-US"/>
              </w:rPr>
            </w:pPr>
            <w:r w:rsidRPr="00063155">
              <w:rPr>
                <w:rFonts w:ascii="Calibri" w:hAnsi="Calibri" w:cs="Arial"/>
                <w:i/>
                <w:sz w:val="20"/>
                <w:lang w:val="en-US"/>
              </w:rPr>
              <w:t>Information Security Management System (ISMS) – 1</w:t>
            </w:r>
          </w:p>
          <w:p w:rsidR="00BC2608" w:rsidRPr="00063155" w:rsidRDefault="00BC2608" w:rsidP="00BC2608">
            <w:pPr>
              <w:numPr>
                <w:ilvl w:val="0"/>
                <w:numId w:val="29"/>
              </w:numPr>
              <w:rPr>
                <w:rFonts w:ascii="Calibri" w:hAnsi="Calibri" w:cs="Arial"/>
                <w:i/>
                <w:sz w:val="20"/>
                <w:lang w:val="en-US"/>
              </w:rPr>
            </w:pPr>
            <w:r w:rsidRPr="00063155">
              <w:rPr>
                <w:rFonts w:ascii="Calibri" w:hAnsi="Calibri" w:cs="Arial"/>
                <w:i/>
                <w:sz w:val="20"/>
                <w:lang w:val="en-US"/>
              </w:rPr>
              <w:t>FMC - 2</w:t>
            </w:r>
          </w:p>
          <w:p w:rsidR="00BC2608" w:rsidRPr="00063155" w:rsidRDefault="00BC2608" w:rsidP="00BC2608">
            <w:pPr>
              <w:rPr>
                <w:rFonts w:ascii="Calibri" w:hAnsi="Calibri" w:cs="Arial"/>
                <w:i/>
                <w:sz w:val="20"/>
                <w:lang w:val="en-US"/>
              </w:rPr>
            </w:pPr>
          </w:p>
          <w:p w:rsidR="00BC2608" w:rsidRPr="00063155" w:rsidRDefault="00BC2608" w:rsidP="00BC2608">
            <w:pPr>
              <w:rPr>
                <w:rFonts w:ascii="Calibri" w:hAnsi="Calibri" w:cs="Arial"/>
                <w:i/>
                <w:sz w:val="20"/>
                <w:lang w:val="en-US"/>
              </w:rPr>
            </w:pPr>
            <w:r w:rsidRPr="00063155">
              <w:rPr>
                <w:rFonts w:ascii="Calibri" w:hAnsi="Calibri" w:cs="Arial"/>
                <w:i/>
                <w:sz w:val="20"/>
                <w:lang w:val="en-US"/>
              </w:rPr>
              <w:t>The total number of accredited inspection bodies is 6</w:t>
            </w:r>
          </w:p>
          <w:p w:rsidR="00BC2608" w:rsidRPr="00063155" w:rsidRDefault="00BC2608" w:rsidP="00BC2608">
            <w:pPr>
              <w:rPr>
                <w:rFonts w:ascii="Calibri" w:hAnsi="Calibri" w:cs="Arial"/>
                <w:i/>
                <w:sz w:val="20"/>
                <w:lang w:val="en-US"/>
              </w:rPr>
            </w:pPr>
          </w:p>
          <w:p w:rsidR="00BC2608" w:rsidRPr="00063155" w:rsidRDefault="00BC2608" w:rsidP="00BC2608">
            <w:pPr>
              <w:rPr>
                <w:rFonts w:ascii="Calibri" w:hAnsi="Calibri" w:cs="Arial"/>
                <w:i/>
                <w:sz w:val="20"/>
                <w:lang w:val="en-US"/>
              </w:rPr>
            </w:pPr>
            <w:r w:rsidRPr="00063155">
              <w:rPr>
                <w:rFonts w:ascii="Calibri" w:hAnsi="Calibri" w:cs="Arial"/>
                <w:i/>
                <w:sz w:val="20"/>
                <w:lang w:val="en-US"/>
              </w:rPr>
              <w:t>The total number of GLP Compliance Test Facilities is 4:</w:t>
            </w:r>
          </w:p>
          <w:p w:rsidR="00BC2608" w:rsidRPr="00063155" w:rsidRDefault="00BC2608" w:rsidP="00BC2608">
            <w:pPr>
              <w:numPr>
                <w:ilvl w:val="0"/>
                <w:numId w:val="27"/>
              </w:numPr>
              <w:rPr>
                <w:rFonts w:ascii="Calibri" w:hAnsi="Calibri" w:cs="Arial"/>
                <w:i/>
                <w:sz w:val="20"/>
                <w:lang w:val="en-US"/>
              </w:rPr>
            </w:pPr>
            <w:r w:rsidRPr="00063155">
              <w:rPr>
                <w:rFonts w:ascii="Calibri" w:hAnsi="Calibri" w:cs="Arial"/>
                <w:i/>
                <w:sz w:val="20"/>
                <w:lang w:val="en-US"/>
              </w:rPr>
              <w:t xml:space="preserve">Acumen Scientific </w:t>
            </w:r>
            <w:proofErr w:type="spellStart"/>
            <w:r w:rsidRPr="00063155">
              <w:rPr>
                <w:rFonts w:ascii="Calibri" w:hAnsi="Calibri" w:cs="Arial"/>
                <w:i/>
                <w:sz w:val="20"/>
                <w:lang w:val="en-US"/>
              </w:rPr>
              <w:t>Sdn</w:t>
            </w:r>
            <w:proofErr w:type="spellEnd"/>
            <w:r w:rsidRPr="00063155">
              <w:rPr>
                <w:rFonts w:ascii="Calibri" w:hAnsi="Calibri" w:cs="Arial"/>
                <w:i/>
                <w:sz w:val="20"/>
                <w:lang w:val="en-US"/>
              </w:rPr>
              <w:t>. Bhd.</w:t>
            </w:r>
          </w:p>
          <w:p w:rsidR="00BC2608" w:rsidRPr="00063155" w:rsidRDefault="00BC2608" w:rsidP="00BC2608">
            <w:pPr>
              <w:numPr>
                <w:ilvl w:val="0"/>
                <w:numId w:val="27"/>
              </w:numPr>
              <w:rPr>
                <w:rFonts w:ascii="Calibri" w:hAnsi="Calibri" w:cs="Arial"/>
                <w:i/>
                <w:sz w:val="20"/>
                <w:lang w:val="en-US"/>
              </w:rPr>
            </w:pPr>
            <w:r w:rsidRPr="00063155">
              <w:rPr>
                <w:rFonts w:ascii="Calibri" w:hAnsi="Calibri" w:cs="Arial"/>
                <w:i/>
                <w:sz w:val="20"/>
                <w:lang w:val="en-MY"/>
              </w:rPr>
              <w:t xml:space="preserve">Sumitomo Chemical </w:t>
            </w:r>
            <w:proofErr w:type="spellStart"/>
            <w:r w:rsidRPr="00063155">
              <w:rPr>
                <w:rFonts w:ascii="Calibri" w:hAnsi="Calibri" w:cs="Arial"/>
                <w:i/>
                <w:sz w:val="20"/>
                <w:lang w:val="en-MY"/>
              </w:rPr>
              <w:t>Enviro</w:t>
            </w:r>
            <w:proofErr w:type="spellEnd"/>
            <w:r w:rsidRPr="00063155">
              <w:rPr>
                <w:rFonts w:ascii="Calibri" w:hAnsi="Calibri" w:cs="Arial"/>
                <w:i/>
                <w:sz w:val="20"/>
                <w:lang w:val="en-MY"/>
              </w:rPr>
              <w:t xml:space="preserve">-Agro Asia Pacific </w:t>
            </w:r>
            <w:proofErr w:type="spellStart"/>
            <w:r w:rsidRPr="00063155">
              <w:rPr>
                <w:rFonts w:ascii="Calibri" w:hAnsi="Calibri" w:cs="Arial"/>
                <w:i/>
                <w:sz w:val="20"/>
                <w:lang w:val="en-MY"/>
              </w:rPr>
              <w:t>Sdn</w:t>
            </w:r>
            <w:proofErr w:type="spellEnd"/>
            <w:r w:rsidRPr="00063155">
              <w:rPr>
                <w:rFonts w:ascii="Calibri" w:hAnsi="Calibri" w:cs="Arial"/>
                <w:i/>
                <w:sz w:val="20"/>
                <w:lang w:val="en-MY"/>
              </w:rPr>
              <w:t>. Bhd.</w:t>
            </w:r>
          </w:p>
          <w:p w:rsidR="00BC2608" w:rsidRPr="00063155" w:rsidRDefault="00BC2608" w:rsidP="00BC2608">
            <w:pPr>
              <w:numPr>
                <w:ilvl w:val="0"/>
                <w:numId w:val="27"/>
              </w:numPr>
              <w:rPr>
                <w:rFonts w:ascii="Calibri" w:hAnsi="Calibri" w:cs="Arial"/>
                <w:i/>
                <w:sz w:val="20"/>
                <w:lang w:val="en-US"/>
              </w:rPr>
            </w:pPr>
            <w:r w:rsidRPr="00063155">
              <w:rPr>
                <w:rFonts w:ascii="Calibri" w:hAnsi="Calibri" w:cs="Arial"/>
                <w:i/>
                <w:sz w:val="20"/>
                <w:lang w:val="en-MY"/>
              </w:rPr>
              <w:t xml:space="preserve">ETRC, SIRIM </w:t>
            </w:r>
            <w:proofErr w:type="spellStart"/>
            <w:r w:rsidRPr="00063155">
              <w:rPr>
                <w:rFonts w:ascii="Calibri" w:hAnsi="Calibri" w:cs="Arial"/>
                <w:i/>
                <w:sz w:val="20"/>
                <w:lang w:val="en-MY"/>
              </w:rPr>
              <w:t>Berhad</w:t>
            </w:r>
            <w:proofErr w:type="spellEnd"/>
            <w:r w:rsidRPr="00063155">
              <w:rPr>
                <w:rFonts w:ascii="Calibri" w:hAnsi="Calibri" w:cs="Arial"/>
                <w:i/>
                <w:sz w:val="20"/>
                <w:lang w:val="en-MY"/>
              </w:rPr>
              <w:t>.</w:t>
            </w:r>
          </w:p>
          <w:p w:rsidR="00BC2608" w:rsidRPr="00063155" w:rsidRDefault="00BC2608" w:rsidP="00BC2608">
            <w:pPr>
              <w:numPr>
                <w:ilvl w:val="0"/>
                <w:numId w:val="27"/>
              </w:numPr>
              <w:rPr>
                <w:rFonts w:ascii="Calibri" w:hAnsi="Calibri" w:cs="Arial"/>
                <w:i/>
                <w:sz w:val="20"/>
                <w:lang w:val="en-US"/>
              </w:rPr>
            </w:pPr>
            <w:proofErr w:type="spellStart"/>
            <w:r w:rsidRPr="00063155">
              <w:rPr>
                <w:rFonts w:ascii="Calibri" w:hAnsi="Calibri" w:cs="Arial"/>
                <w:i/>
                <w:sz w:val="20"/>
                <w:lang w:val="en-MY"/>
              </w:rPr>
              <w:t>Perbadanan</w:t>
            </w:r>
            <w:proofErr w:type="spellEnd"/>
            <w:r w:rsidRPr="00063155">
              <w:rPr>
                <w:rFonts w:ascii="Calibri" w:hAnsi="Calibri" w:cs="Arial"/>
                <w:i/>
                <w:sz w:val="20"/>
                <w:lang w:val="en-MY"/>
              </w:rPr>
              <w:t xml:space="preserve"> </w:t>
            </w:r>
            <w:proofErr w:type="spellStart"/>
            <w:r w:rsidRPr="00063155">
              <w:rPr>
                <w:rFonts w:ascii="Calibri" w:hAnsi="Calibri" w:cs="Arial"/>
                <w:i/>
                <w:sz w:val="20"/>
                <w:lang w:val="en-MY"/>
              </w:rPr>
              <w:t>Bioteknologi</w:t>
            </w:r>
            <w:proofErr w:type="spellEnd"/>
            <w:r w:rsidRPr="00063155">
              <w:rPr>
                <w:rFonts w:ascii="Calibri" w:hAnsi="Calibri" w:cs="Arial"/>
                <w:i/>
                <w:sz w:val="20"/>
                <w:lang w:val="en-MY"/>
              </w:rPr>
              <w:t xml:space="preserve"> Melaka.</w:t>
            </w:r>
          </w:p>
          <w:p w:rsidR="00BC2608" w:rsidRPr="00063155" w:rsidRDefault="00BC2608" w:rsidP="00BC2608">
            <w:pPr>
              <w:rPr>
                <w:rFonts w:ascii="Calibri" w:hAnsi="Calibri" w:cs="Arial"/>
                <w:i/>
                <w:sz w:val="20"/>
                <w:lang w:val="en-US"/>
              </w:rPr>
            </w:pPr>
          </w:p>
          <w:p w:rsidR="00BC2608" w:rsidRPr="00063155" w:rsidRDefault="00BC2608" w:rsidP="00BC2608">
            <w:pPr>
              <w:rPr>
                <w:rFonts w:ascii="Calibri" w:hAnsi="Calibri" w:cs="Arial"/>
                <w:i/>
                <w:sz w:val="20"/>
                <w:lang w:val="en-US"/>
              </w:rPr>
            </w:pPr>
            <w:r w:rsidRPr="00063155">
              <w:rPr>
                <w:rFonts w:ascii="Calibri" w:hAnsi="Calibri" w:cs="Arial"/>
                <w:i/>
                <w:sz w:val="20"/>
                <w:lang w:val="en-US"/>
              </w:rPr>
              <w:t>STANDARDS MALAYSIA participated in various training activities/meetings of the Specialist Regional Bodies (SRBs) namely:</w:t>
            </w:r>
          </w:p>
          <w:p w:rsidR="00BC2608" w:rsidRPr="00063155" w:rsidRDefault="00BC2608" w:rsidP="00BC2608">
            <w:pPr>
              <w:numPr>
                <w:ilvl w:val="0"/>
                <w:numId w:val="28"/>
              </w:numPr>
              <w:ind w:left="763" w:hanging="425"/>
              <w:rPr>
                <w:rFonts w:ascii="Calibri" w:hAnsi="Calibri" w:cs="Arial"/>
                <w:i/>
                <w:sz w:val="20"/>
                <w:lang w:val="en-US"/>
              </w:rPr>
            </w:pPr>
            <w:r w:rsidRPr="00063155">
              <w:rPr>
                <w:rFonts w:ascii="Calibri" w:hAnsi="Calibri" w:cs="Arial"/>
                <w:i/>
                <w:sz w:val="20"/>
                <w:lang w:val="en-US"/>
              </w:rPr>
              <w:t xml:space="preserve">2nd PAC-PTB Training &amp; Workshop for Assessors of Accreditation Bodies on Organic Agriculture, 29 </w:t>
            </w:r>
            <w:proofErr w:type="spellStart"/>
            <w:r w:rsidRPr="00063155">
              <w:rPr>
                <w:rFonts w:ascii="Calibri" w:hAnsi="Calibri" w:cs="Arial"/>
                <w:i/>
                <w:sz w:val="20"/>
                <w:lang w:val="en-US"/>
              </w:rPr>
              <w:t>Ogos</w:t>
            </w:r>
            <w:proofErr w:type="spellEnd"/>
            <w:r w:rsidRPr="00063155">
              <w:rPr>
                <w:rFonts w:ascii="Calibri" w:hAnsi="Calibri" w:cs="Arial"/>
                <w:i/>
                <w:sz w:val="20"/>
                <w:lang w:val="en-US"/>
              </w:rPr>
              <w:t xml:space="preserve"> 2011 – 1 September 2011,  Beijing, China.</w:t>
            </w:r>
          </w:p>
          <w:p w:rsidR="00BC2608" w:rsidRPr="00063155" w:rsidRDefault="00BC2608" w:rsidP="00BC2608">
            <w:pPr>
              <w:numPr>
                <w:ilvl w:val="0"/>
                <w:numId w:val="28"/>
              </w:numPr>
              <w:ind w:left="763" w:hanging="425"/>
              <w:rPr>
                <w:rFonts w:ascii="Calibri" w:hAnsi="Calibri" w:cs="Arial"/>
                <w:i/>
                <w:sz w:val="20"/>
                <w:lang w:val="en-US"/>
              </w:rPr>
            </w:pPr>
            <w:r w:rsidRPr="00063155">
              <w:rPr>
                <w:rFonts w:ascii="Calibri" w:hAnsi="Calibri" w:cs="Arial"/>
                <w:i/>
                <w:sz w:val="20"/>
                <w:lang w:val="en-US"/>
              </w:rPr>
              <w:t>Workshop on ISO/IEC 17021:2011, 16 June 2011, Manila.</w:t>
            </w:r>
          </w:p>
          <w:p w:rsidR="001F22A2" w:rsidRPr="00063155" w:rsidRDefault="00BC2608" w:rsidP="00BC2608">
            <w:pPr>
              <w:rPr>
                <w:rFonts w:ascii="Calibri" w:hAnsi="Calibri"/>
                <w:i/>
                <w:sz w:val="20"/>
              </w:rPr>
            </w:pPr>
            <w:r w:rsidRPr="00063155">
              <w:rPr>
                <w:rFonts w:ascii="Calibri" w:hAnsi="Calibri" w:cs="Arial"/>
                <w:i/>
                <w:sz w:val="20"/>
                <w:lang w:val="en-US"/>
              </w:rPr>
              <w:t>Workshop</w:t>
            </w:r>
            <w:r w:rsidRPr="00063155">
              <w:rPr>
                <w:rFonts w:ascii="Calibri" w:hAnsi="Calibri" w:cs="Arial"/>
                <w:i/>
                <w:sz w:val="20"/>
              </w:rPr>
              <w:t xml:space="preserve"> on Marketing </w:t>
            </w:r>
            <w:proofErr w:type="gramStart"/>
            <w:r w:rsidRPr="00063155">
              <w:rPr>
                <w:rFonts w:ascii="Calibri" w:hAnsi="Calibri" w:cs="Arial"/>
                <w:i/>
                <w:sz w:val="20"/>
              </w:rPr>
              <w:t>Accreditation ,</w:t>
            </w:r>
            <w:proofErr w:type="gramEnd"/>
            <w:r w:rsidRPr="00063155">
              <w:rPr>
                <w:rFonts w:ascii="Calibri" w:hAnsi="Calibri" w:cs="Arial"/>
                <w:i/>
                <w:sz w:val="20"/>
              </w:rPr>
              <w:t xml:space="preserve"> 16 June 2011, Manila.</w:t>
            </w:r>
          </w:p>
        </w:tc>
        <w:tc>
          <w:tcPr>
            <w:tcW w:w="5670" w:type="dxa"/>
          </w:tcPr>
          <w:p w:rsidR="001F22A2" w:rsidRPr="00063155" w:rsidRDefault="001F22A2">
            <w:pPr>
              <w:rPr>
                <w:rFonts w:ascii="Calibri" w:hAnsi="Calibri"/>
                <w:i/>
                <w:sz w:val="20"/>
              </w:rPr>
            </w:pPr>
            <w:bookmarkStart w:id="15" w:name="Cell10"/>
            <w:bookmarkEnd w:id="15"/>
            <w:r w:rsidRPr="00063155">
              <w:rPr>
                <w:rFonts w:ascii="Calibri" w:hAnsi="Calibri" w:cs="Arial"/>
                <w:i/>
                <w:sz w:val="20"/>
              </w:rPr>
              <w:t>Provide brief points only</w:t>
            </w:r>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BC2608" w:rsidRPr="00063155" w:rsidRDefault="00F64B41" w:rsidP="00860BC4">
            <w:pPr>
              <w:pStyle w:val="Heading9"/>
              <w:rPr>
                <w:rFonts w:ascii="Calibri" w:hAnsi="Calibri"/>
              </w:rPr>
            </w:pPr>
            <w:hyperlink r:id="rId10" w:history="1">
              <w:r w:rsidR="00BC2608" w:rsidRPr="00063155">
                <w:rPr>
                  <w:rStyle w:val="Hyperlink"/>
                  <w:rFonts w:ascii="Calibri" w:hAnsi="Calibri"/>
                  <w:color w:val="auto"/>
                </w:rPr>
                <w:t>www.standardsmalaysia.gov.my</w:t>
              </w:r>
            </w:hyperlink>
          </w:p>
        </w:tc>
        <w:tc>
          <w:tcPr>
            <w:tcW w:w="5670" w:type="dxa"/>
          </w:tcPr>
          <w:p w:rsidR="00BC2608" w:rsidRPr="00063155" w:rsidRDefault="00BC2608" w:rsidP="009E28DA">
            <w:pPr>
              <w:pStyle w:val="Heading9"/>
              <w:rPr>
                <w:rFonts w:ascii="Calibri" w:hAnsi="Calibri"/>
                <w:b w:val="0"/>
              </w:rPr>
            </w:pPr>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BC2608" w:rsidRPr="00063155" w:rsidRDefault="00BC2608" w:rsidP="00BC2608">
            <w:pPr>
              <w:pStyle w:val="Heading9"/>
              <w:rPr>
                <w:rFonts w:ascii="Calibri" w:hAnsi="Calibri"/>
                <w:b w:val="0"/>
              </w:rPr>
            </w:pPr>
            <w:r w:rsidRPr="00063155">
              <w:rPr>
                <w:rFonts w:ascii="Calibri" w:hAnsi="Calibri"/>
                <w:b w:val="0"/>
              </w:rPr>
              <w:t xml:space="preserve">Mr. Wan </w:t>
            </w:r>
            <w:proofErr w:type="spellStart"/>
            <w:r w:rsidRPr="00063155">
              <w:rPr>
                <w:rFonts w:ascii="Calibri" w:hAnsi="Calibri"/>
                <w:b w:val="0"/>
              </w:rPr>
              <w:t>Rukiman</w:t>
            </w:r>
            <w:proofErr w:type="spellEnd"/>
            <w:r w:rsidRPr="00063155">
              <w:rPr>
                <w:rFonts w:ascii="Calibri" w:hAnsi="Calibri"/>
                <w:b w:val="0"/>
              </w:rPr>
              <w:t xml:space="preserve"> Wan </w:t>
            </w:r>
            <w:proofErr w:type="spellStart"/>
            <w:r w:rsidRPr="00063155">
              <w:rPr>
                <w:rFonts w:ascii="Calibri" w:hAnsi="Calibri"/>
                <w:b w:val="0"/>
              </w:rPr>
              <w:t>Mamat</w:t>
            </w:r>
            <w:proofErr w:type="spellEnd"/>
            <w:r w:rsidRPr="00063155">
              <w:rPr>
                <w:rFonts w:ascii="Calibri" w:hAnsi="Calibri"/>
                <w:b w:val="0"/>
              </w:rPr>
              <w:t xml:space="preserve"> – </w:t>
            </w:r>
            <w:r w:rsidRPr="00063155">
              <w:rPr>
                <w:rFonts w:ascii="Calibri" w:hAnsi="Calibri"/>
                <w:b w:val="0"/>
                <w:u w:val="single"/>
              </w:rPr>
              <w:t>wr@standardsmalaysia.gov.my</w:t>
            </w:r>
          </w:p>
          <w:p w:rsidR="00BC2608" w:rsidRPr="00063155" w:rsidRDefault="00BC2608" w:rsidP="00BC2608">
            <w:pPr>
              <w:pStyle w:val="Heading9"/>
              <w:rPr>
                <w:rFonts w:ascii="Calibri" w:hAnsi="Calibri"/>
                <w:b w:val="0"/>
              </w:rPr>
            </w:pPr>
            <w:proofErr w:type="spellStart"/>
            <w:r w:rsidRPr="00063155">
              <w:rPr>
                <w:rFonts w:ascii="Calibri" w:hAnsi="Calibri"/>
                <w:b w:val="0"/>
              </w:rPr>
              <w:t>Ms.Sharifah</w:t>
            </w:r>
            <w:proofErr w:type="spellEnd"/>
            <w:r w:rsidRPr="00063155">
              <w:rPr>
                <w:rFonts w:ascii="Calibri" w:hAnsi="Calibri"/>
                <w:b w:val="0"/>
              </w:rPr>
              <w:t xml:space="preserve"> </w:t>
            </w:r>
            <w:proofErr w:type="spellStart"/>
            <w:r w:rsidRPr="00063155">
              <w:rPr>
                <w:rFonts w:ascii="Calibri" w:hAnsi="Calibri"/>
                <w:b w:val="0"/>
              </w:rPr>
              <w:t>Azlinda</w:t>
            </w:r>
            <w:proofErr w:type="spellEnd"/>
            <w:r w:rsidRPr="00063155">
              <w:rPr>
                <w:rFonts w:ascii="Calibri" w:hAnsi="Calibri"/>
                <w:b w:val="0"/>
              </w:rPr>
              <w:t xml:space="preserve"> </w:t>
            </w:r>
            <w:proofErr w:type="spellStart"/>
            <w:r w:rsidRPr="00063155">
              <w:rPr>
                <w:rFonts w:ascii="Calibri" w:hAnsi="Calibri"/>
                <w:b w:val="0"/>
              </w:rPr>
              <w:t>Syed</w:t>
            </w:r>
            <w:proofErr w:type="spellEnd"/>
            <w:r w:rsidRPr="00063155">
              <w:rPr>
                <w:rFonts w:ascii="Calibri" w:hAnsi="Calibri"/>
                <w:b w:val="0"/>
              </w:rPr>
              <w:t xml:space="preserve"> Abu </w:t>
            </w:r>
            <w:proofErr w:type="spellStart"/>
            <w:r w:rsidRPr="00063155">
              <w:rPr>
                <w:rFonts w:ascii="Calibri" w:hAnsi="Calibri"/>
                <w:b w:val="0"/>
              </w:rPr>
              <w:t>Bakar</w:t>
            </w:r>
            <w:proofErr w:type="spellEnd"/>
            <w:r w:rsidRPr="00063155">
              <w:rPr>
                <w:rFonts w:ascii="Calibri" w:hAnsi="Calibri"/>
                <w:b w:val="0"/>
              </w:rPr>
              <w:t xml:space="preserve"> – </w:t>
            </w:r>
            <w:r w:rsidRPr="00063155">
              <w:rPr>
                <w:rFonts w:ascii="Calibri" w:hAnsi="Calibri"/>
                <w:b w:val="0"/>
                <w:u w:val="single"/>
              </w:rPr>
              <w:t>azlinda@standardsmalaysia.gov.my</w:t>
            </w:r>
          </w:p>
        </w:tc>
        <w:tc>
          <w:tcPr>
            <w:tcW w:w="5670" w:type="dxa"/>
          </w:tcPr>
          <w:p w:rsidR="00BC2608" w:rsidRPr="00063155" w:rsidRDefault="00BC2608" w:rsidP="009E28DA">
            <w:pPr>
              <w:pStyle w:val="Heading9"/>
              <w:rPr>
                <w:rFonts w:ascii="Calibri" w:hAnsi="Calibri"/>
                <w:b w:val="0"/>
              </w:rPr>
            </w:pPr>
          </w:p>
        </w:tc>
      </w:tr>
      <w:tr w:rsidR="00BC2608">
        <w:tc>
          <w:tcPr>
            <w:tcW w:w="3524" w:type="dxa"/>
          </w:tcPr>
          <w:p w:rsidR="00BC2608" w:rsidRPr="00BF37B1" w:rsidRDefault="00BC2608">
            <w:pPr>
              <w:rPr>
                <w:rFonts w:ascii="Calibri" w:hAnsi="Calibri"/>
                <w:b/>
                <w:i/>
                <w:sz w:val="20"/>
              </w:rPr>
            </w:pPr>
            <w:bookmarkStart w:id="16" w:name="Row6"/>
            <w:r w:rsidRPr="00BF37B1">
              <w:rPr>
                <w:rFonts w:ascii="Calibri" w:hAnsi="Calibri"/>
                <w:b/>
                <w:i/>
                <w:sz w:val="20"/>
              </w:rPr>
              <w:t>Customs Procedures</w:t>
            </w:r>
            <w:bookmarkEnd w:id="16"/>
          </w:p>
          <w:p w:rsidR="00BC2608" w:rsidRPr="00BF37B1" w:rsidRDefault="00BC2608">
            <w:pPr>
              <w:rPr>
                <w:rFonts w:ascii="Calibri" w:hAnsi="Calibri"/>
                <w:b/>
                <w:i/>
                <w:sz w:val="20"/>
              </w:rPr>
            </w:pPr>
          </w:p>
        </w:tc>
        <w:tc>
          <w:tcPr>
            <w:tcW w:w="5387" w:type="dxa"/>
          </w:tcPr>
          <w:p w:rsidR="00BC2608" w:rsidRPr="00860BC4" w:rsidRDefault="00BC2608" w:rsidP="00436436">
            <w:pPr>
              <w:rPr>
                <w:rFonts w:ascii="Calibri" w:hAnsi="Calibri" w:cs="Arial"/>
                <w:i/>
                <w:sz w:val="20"/>
              </w:rPr>
            </w:pPr>
            <w:bookmarkStart w:id="17" w:name="Cell11"/>
            <w:bookmarkEnd w:id="17"/>
            <w:proofErr w:type="gramStart"/>
            <w:r w:rsidRPr="00860BC4">
              <w:rPr>
                <w:rFonts w:ascii="Calibri" w:hAnsi="Calibri" w:cs="Arial"/>
                <w:i/>
                <w:sz w:val="20"/>
              </w:rPr>
              <w:t>AEO :</w:t>
            </w:r>
            <w:proofErr w:type="gramEnd"/>
            <w:r w:rsidRPr="00860BC4">
              <w:rPr>
                <w:rFonts w:ascii="Calibri" w:hAnsi="Calibri" w:cs="Arial"/>
                <w:i/>
                <w:sz w:val="20"/>
              </w:rPr>
              <w:t xml:space="preserve">   AEO Program was implemented on 1.1.2010. As December 2011, fifteen (15) companies were granted AEO status.    </w:t>
            </w:r>
          </w:p>
          <w:p w:rsidR="00BC2608" w:rsidRPr="00860BC4" w:rsidRDefault="00BC2608" w:rsidP="00436436">
            <w:pPr>
              <w:rPr>
                <w:rFonts w:ascii="Calibri" w:hAnsi="Calibri" w:cs="Arial"/>
                <w:i/>
                <w:sz w:val="20"/>
              </w:rPr>
            </w:pPr>
          </w:p>
          <w:p w:rsidR="00BC2608" w:rsidRPr="00860BC4" w:rsidRDefault="00BC2608" w:rsidP="00436436">
            <w:pPr>
              <w:rPr>
                <w:rFonts w:ascii="Calibri" w:hAnsi="Calibri" w:cs="Arial"/>
                <w:i/>
                <w:sz w:val="20"/>
              </w:rPr>
            </w:pPr>
            <w:r w:rsidRPr="00860BC4">
              <w:rPr>
                <w:rFonts w:ascii="Calibri" w:hAnsi="Calibri" w:cs="Arial"/>
                <w:i/>
                <w:sz w:val="20"/>
              </w:rPr>
              <w:t xml:space="preserve">Self- Certification: Pilot Project between 4 economies (Malaysia, Singapore Brunei and Thailand) implemented on                        1 November 2010 and extended </w:t>
            </w:r>
            <w:proofErr w:type="gramStart"/>
            <w:r w:rsidRPr="00860BC4">
              <w:rPr>
                <w:rFonts w:ascii="Calibri" w:hAnsi="Calibri" w:cs="Arial"/>
                <w:i/>
                <w:sz w:val="20"/>
              </w:rPr>
              <w:t>to  31</w:t>
            </w:r>
            <w:proofErr w:type="gramEnd"/>
            <w:r w:rsidRPr="00860BC4">
              <w:rPr>
                <w:rFonts w:ascii="Calibri" w:hAnsi="Calibri" w:cs="Arial"/>
                <w:i/>
                <w:sz w:val="20"/>
              </w:rPr>
              <w:t xml:space="preserve"> October 2012.   </w:t>
            </w:r>
          </w:p>
          <w:p w:rsidR="00BC2608" w:rsidRPr="00860BC4" w:rsidRDefault="00BC2608" w:rsidP="00436436">
            <w:pPr>
              <w:rPr>
                <w:rFonts w:ascii="Calibri" w:hAnsi="Calibri" w:cs="Arial"/>
                <w:i/>
                <w:sz w:val="20"/>
              </w:rPr>
            </w:pPr>
          </w:p>
          <w:p w:rsidR="00BC2608" w:rsidRPr="00860BC4" w:rsidRDefault="00BC2608" w:rsidP="00436436">
            <w:pPr>
              <w:rPr>
                <w:rFonts w:ascii="Calibri" w:hAnsi="Calibri" w:cs="Arial"/>
                <w:i/>
                <w:sz w:val="20"/>
              </w:rPr>
            </w:pPr>
            <w:r w:rsidRPr="00860BC4">
              <w:rPr>
                <w:rFonts w:ascii="Calibri" w:hAnsi="Calibri" w:cs="Arial"/>
                <w:i/>
                <w:sz w:val="20"/>
              </w:rPr>
              <w:t>Single Window (SW</w:t>
            </w:r>
            <w:proofErr w:type="gramStart"/>
            <w:r w:rsidRPr="00860BC4">
              <w:rPr>
                <w:rFonts w:ascii="Calibri" w:hAnsi="Calibri" w:cs="Arial"/>
                <w:i/>
                <w:sz w:val="20"/>
              </w:rPr>
              <w:t>) :</w:t>
            </w:r>
            <w:proofErr w:type="gramEnd"/>
            <w:r w:rsidRPr="00860BC4">
              <w:rPr>
                <w:rFonts w:ascii="Calibri" w:hAnsi="Calibri" w:cs="Arial"/>
                <w:i/>
                <w:sz w:val="20"/>
              </w:rPr>
              <w:t xml:space="preserve"> In January 2009, National Single </w:t>
            </w:r>
            <w:proofErr w:type="spellStart"/>
            <w:r w:rsidRPr="00860BC4">
              <w:rPr>
                <w:rFonts w:ascii="Calibri" w:hAnsi="Calibri" w:cs="Arial"/>
                <w:i/>
                <w:sz w:val="20"/>
              </w:rPr>
              <w:t>Windoa</w:t>
            </w:r>
            <w:proofErr w:type="spellEnd"/>
            <w:r w:rsidRPr="00860BC4">
              <w:rPr>
                <w:rFonts w:ascii="Calibri" w:hAnsi="Calibri" w:cs="Arial"/>
                <w:i/>
                <w:sz w:val="20"/>
              </w:rPr>
              <w:t xml:space="preserve"> (NSW) Portal was launched and a NSW Special Unit was established in Ministry of Finance (MOF). The five core services implemented in the NSW are:</w:t>
            </w:r>
          </w:p>
          <w:p w:rsidR="00BC2608" w:rsidRPr="00860BC4" w:rsidRDefault="00BC2608" w:rsidP="00436436">
            <w:pPr>
              <w:numPr>
                <w:ilvl w:val="0"/>
                <w:numId w:val="23"/>
              </w:numPr>
              <w:rPr>
                <w:rFonts w:ascii="Calibri" w:hAnsi="Calibri" w:cs="Arial"/>
                <w:i/>
                <w:sz w:val="20"/>
                <w:lang w:val="en-US"/>
              </w:rPr>
            </w:pPr>
            <w:proofErr w:type="spellStart"/>
            <w:r w:rsidRPr="00860BC4">
              <w:rPr>
                <w:rFonts w:ascii="Calibri" w:hAnsi="Calibri" w:cs="Arial"/>
                <w:i/>
                <w:sz w:val="20"/>
                <w:lang w:val="en-US"/>
              </w:rPr>
              <w:t>eDeclare</w:t>
            </w:r>
            <w:proofErr w:type="spellEnd"/>
          </w:p>
          <w:p w:rsidR="00BC2608" w:rsidRPr="00860BC4" w:rsidRDefault="00BC2608" w:rsidP="00436436">
            <w:pPr>
              <w:numPr>
                <w:ilvl w:val="0"/>
                <w:numId w:val="23"/>
              </w:numPr>
              <w:rPr>
                <w:rFonts w:ascii="Calibri" w:hAnsi="Calibri" w:cs="Arial"/>
                <w:i/>
                <w:sz w:val="20"/>
                <w:lang w:val="en-US"/>
              </w:rPr>
            </w:pPr>
            <w:proofErr w:type="spellStart"/>
            <w:r w:rsidRPr="00860BC4">
              <w:rPr>
                <w:rFonts w:ascii="Calibri" w:hAnsi="Calibri" w:cs="Arial"/>
                <w:i/>
                <w:sz w:val="20"/>
                <w:lang w:val="en-US"/>
              </w:rPr>
              <w:t>eManifest</w:t>
            </w:r>
            <w:proofErr w:type="spellEnd"/>
          </w:p>
          <w:p w:rsidR="00BC2608" w:rsidRPr="00860BC4" w:rsidRDefault="00BC2608" w:rsidP="00436436">
            <w:pPr>
              <w:numPr>
                <w:ilvl w:val="0"/>
                <w:numId w:val="23"/>
              </w:numPr>
              <w:rPr>
                <w:rFonts w:ascii="Calibri" w:hAnsi="Calibri" w:cs="Arial"/>
                <w:i/>
                <w:sz w:val="20"/>
                <w:lang w:val="en-US"/>
              </w:rPr>
            </w:pPr>
            <w:proofErr w:type="spellStart"/>
            <w:r w:rsidRPr="00860BC4">
              <w:rPr>
                <w:rFonts w:ascii="Calibri" w:hAnsi="Calibri" w:cs="Arial"/>
                <w:i/>
                <w:sz w:val="20"/>
                <w:lang w:val="en-US"/>
              </w:rPr>
              <w:t>ePayment</w:t>
            </w:r>
            <w:proofErr w:type="spellEnd"/>
          </w:p>
          <w:p w:rsidR="00BC2608" w:rsidRPr="00860BC4" w:rsidRDefault="00BC2608" w:rsidP="00436436">
            <w:pPr>
              <w:numPr>
                <w:ilvl w:val="0"/>
                <w:numId w:val="23"/>
              </w:numPr>
              <w:rPr>
                <w:rFonts w:ascii="Calibri" w:hAnsi="Calibri" w:cs="Arial"/>
                <w:i/>
                <w:sz w:val="20"/>
                <w:lang w:val="en-US"/>
              </w:rPr>
            </w:pPr>
            <w:proofErr w:type="spellStart"/>
            <w:r w:rsidRPr="00860BC4">
              <w:rPr>
                <w:rFonts w:ascii="Calibri" w:hAnsi="Calibri" w:cs="Arial"/>
                <w:i/>
                <w:sz w:val="20"/>
                <w:lang w:val="en-US"/>
              </w:rPr>
              <w:t>ePermit</w:t>
            </w:r>
            <w:proofErr w:type="spellEnd"/>
          </w:p>
          <w:p w:rsidR="00BC2608" w:rsidRPr="00063155" w:rsidRDefault="00BC2608" w:rsidP="00860BC4">
            <w:pPr>
              <w:numPr>
                <w:ilvl w:val="0"/>
                <w:numId w:val="23"/>
              </w:numPr>
              <w:rPr>
                <w:rFonts w:ascii="Calibri" w:hAnsi="Calibri"/>
                <w:i/>
                <w:sz w:val="20"/>
              </w:rPr>
            </w:pPr>
            <w:proofErr w:type="spellStart"/>
            <w:r w:rsidRPr="00860BC4">
              <w:rPr>
                <w:rFonts w:ascii="Calibri" w:hAnsi="Calibri" w:cs="Arial"/>
                <w:i/>
                <w:sz w:val="20"/>
                <w:lang w:val="en-US"/>
              </w:rPr>
              <w:t>ePCO</w:t>
            </w:r>
            <w:proofErr w:type="spellEnd"/>
            <w:r w:rsidRPr="00860BC4">
              <w:rPr>
                <w:rFonts w:ascii="Calibri" w:hAnsi="Calibri" w:cs="Arial"/>
                <w:i/>
                <w:sz w:val="20"/>
              </w:rPr>
              <w:t xml:space="preserve"> (Preferential Certificate of Origin)</w:t>
            </w:r>
          </w:p>
        </w:tc>
        <w:tc>
          <w:tcPr>
            <w:tcW w:w="5670" w:type="dxa"/>
          </w:tcPr>
          <w:p w:rsidR="00BC2608" w:rsidRPr="00860BC4" w:rsidRDefault="00BC2608">
            <w:pPr>
              <w:rPr>
                <w:rFonts w:ascii="Calibri" w:hAnsi="Calibri"/>
                <w:i/>
                <w:sz w:val="20"/>
              </w:rPr>
            </w:pPr>
            <w:bookmarkStart w:id="18" w:name="Cell12"/>
            <w:bookmarkEnd w:id="18"/>
            <w:r w:rsidRPr="00860BC4">
              <w:rPr>
                <w:rFonts w:ascii="Calibri" w:hAnsi="Calibri" w:cs="Arial"/>
                <w:i/>
                <w:sz w:val="20"/>
              </w:rPr>
              <w:t>For further enhancement, a new blueprint for the NSW implementation has just been developed. The NSW based on the operating/business model established in the new blueprint will be implemented in 2014.</w:t>
            </w:r>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BC2608" w:rsidRPr="00063155" w:rsidRDefault="00BC2608" w:rsidP="00860BC4">
            <w:pPr>
              <w:pStyle w:val="Heading9"/>
              <w:rPr>
                <w:rFonts w:asciiTheme="minorHAnsi" w:hAnsiTheme="minorHAnsi"/>
                <w:b w:val="0"/>
              </w:rPr>
            </w:pPr>
            <w:r w:rsidRPr="00063155">
              <w:rPr>
                <w:rFonts w:asciiTheme="minorHAnsi" w:hAnsiTheme="minorHAnsi" w:cs="Arial"/>
              </w:rPr>
              <w:t>www.customs.gov.my</w:t>
            </w:r>
          </w:p>
        </w:tc>
        <w:tc>
          <w:tcPr>
            <w:tcW w:w="5670" w:type="dxa"/>
          </w:tcPr>
          <w:p w:rsidR="00BC2608" w:rsidRPr="00063155" w:rsidRDefault="00BC2608" w:rsidP="009E28DA">
            <w:pPr>
              <w:pStyle w:val="Heading9"/>
              <w:rPr>
                <w:rFonts w:ascii="Calibri" w:hAnsi="Calibri"/>
                <w:b w:val="0"/>
              </w:rPr>
            </w:pPr>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BC2608" w:rsidRPr="00063155" w:rsidRDefault="00BC2608" w:rsidP="00860BC4">
            <w:pPr>
              <w:pStyle w:val="Heading9"/>
              <w:rPr>
                <w:rFonts w:asciiTheme="minorHAnsi" w:hAnsiTheme="minorHAnsi"/>
                <w:b w:val="0"/>
              </w:rPr>
            </w:pPr>
            <w:proofErr w:type="spellStart"/>
            <w:r w:rsidRPr="00063155">
              <w:rPr>
                <w:rFonts w:asciiTheme="minorHAnsi" w:hAnsiTheme="minorHAnsi"/>
                <w:b w:val="0"/>
              </w:rPr>
              <w:t>Roslan</w:t>
            </w:r>
            <w:proofErr w:type="spellEnd"/>
            <w:r w:rsidRPr="00063155">
              <w:rPr>
                <w:rFonts w:asciiTheme="minorHAnsi" w:hAnsiTheme="minorHAnsi"/>
                <w:b w:val="0"/>
              </w:rPr>
              <w:t xml:space="preserve"> B. Mohd </w:t>
            </w:r>
            <w:proofErr w:type="spellStart"/>
            <w:r w:rsidRPr="00063155">
              <w:rPr>
                <w:rFonts w:asciiTheme="minorHAnsi" w:hAnsiTheme="minorHAnsi"/>
                <w:b w:val="0"/>
              </w:rPr>
              <w:t>Yassin</w:t>
            </w:r>
            <w:proofErr w:type="spellEnd"/>
            <w:r w:rsidRPr="00063155">
              <w:rPr>
                <w:rFonts w:asciiTheme="minorHAnsi" w:hAnsiTheme="minorHAnsi"/>
                <w:b w:val="0"/>
              </w:rPr>
              <w:t xml:space="preserve"> (roslan.yasin@customs.gov.my)</w:t>
            </w:r>
          </w:p>
        </w:tc>
        <w:tc>
          <w:tcPr>
            <w:tcW w:w="5670" w:type="dxa"/>
          </w:tcPr>
          <w:p w:rsidR="00BC2608" w:rsidRPr="00063155" w:rsidRDefault="00BC2608" w:rsidP="009E28DA">
            <w:pPr>
              <w:pStyle w:val="Heading9"/>
              <w:rPr>
                <w:rFonts w:ascii="Calibri" w:hAnsi="Calibri"/>
                <w:b w:val="0"/>
              </w:rPr>
            </w:pPr>
          </w:p>
        </w:tc>
      </w:tr>
      <w:tr w:rsidR="00BC2608">
        <w:tc>
          <w:tcPr>
            <w:tcW w:w="3524" w:type="dxa"/>
          </w:tcPr>
          <w:p w:rsidR="00BC2608" w:rsidRPr="00BF37B1" w:rsidRDefault="00BC2608">
            <w:pPr>
              <w:rPr>
                <w:rFonts w:ascii="Calibri" w:hAnsi="Calibri"/>
                <w:b/>
                <w:i/>
                <w:sz w:val="20"/>
              </w:rPr>
            </w:pPr>
            <w:bookmarkStart w:id="19" w:name="Row7"/>
            <w:r w:rsidRPr="00BF37B1">
              <w:rPr>
                <w:rFonts w:ascii="Calibri" w:hAnsi="Calibri"/>
                <w:b/>
                <w:i/>
                <w:sz w:val="20"/>
              </w:rPr>
              <w:t>Intellectual Property Rights</w:t>
            </w:r>
            <w:bookmarkEnd w:id="19"/>
          </w:p>
          <w:p w:rsidR="00BC2608" w:rsidRPr="00BF37B1" w:rsidRDefault="00BC2608">
            <w:pPr>
              <w:rPr>
                <w:rFonts w:ascii="Calibri" w:hAnsi="Calibri"/>
                <w:b/>
                <w:i/>
                <w:sz w:val="20"/>
              </w:rPr>
            </w:pPr>
          </w:p>
        </w:tc>
        <w:tc>
          <w:tcPr>
            <w:tcW w:w="5387" w:type="dxa"/>
          </w:tcPr>
          <w:p w:rsidR="00BC2608" w:rsidRPr="00860BC4" w:rsidRDefault="00BC2608" w:rsidP="00754887">
            <w:pPr>
              <w:pStyle w:val="ListParagraph"/>
              <w:numPr>
                <w:ilvl w:val="0"/>
                <w:numId w:val="20"/>
              </w:numPr>
              <w:ind w:left="338"/>
              <w:rPr>
                <w:rFonts w:asciiTheme="minorHAnsi" w:hAnsiTheme="minorHAnsi" w:cs="Arial"/>
                <w:i/>
                <w:sz w:val="20"/>
                <w:szCs w:val="20"/>
              </w:rPr>
            </w:pPr>
            <w:bookmarkStart w:id="20" w:name="Cell13"/>
            <w:bookmarkEnd w:id="20"/>
            <w:r w:rsidRPr="00860BC4">
              <w:rPr>
                <w:rFonts w:asciiTheme="minorHAnsi" w:hAnsiTheme="minorHAnsi" w:cs="Arial"/>
                <w:i/>
                <w:sz w:val="20"/>
                <w:szCs w:val="20"/>
              </w:rPr>
              <w:t xml:space="preserve">The amendment of Copyright Act 1987 has been approved by the Parliament in December 2011. The amendment of the </w:t>
            </w:r>
          </w:p>
          <w:p w:rsidR="00BC2608" w:rsidRPr="00860BC4" w:rsidRDefault="00BC2608" w:rsidP="00754887">
            <w:pPr>
              <w:pStyle w:val="ListParagraph"/>
              <w:numPr>
                <w:ilvl w:val="0"/>
                <w:numId w:val="20"/>
              </w:numPr>
              <w:ind w:left="338"/>
              <w:rPr>
                <w:rFonts w:asciiTheme="minorHAnsi" w:hAnsiTheme="minorHAnsi" w:cs="Arial"/>
                <w:i/>
                <w:sz w:val="20"/>
                <w:szCs w:val="20"/>
              </w:rPr>
            </w:pPr>
            <w:r w:rsidRPr="00860BC4">
              <w:rPr>
                <w:rFonts w:asciiTheme="minorHAnsi" w:hAnsiTheme="minorHAnsi" w:cs="Arial"/>
                <w:i/>
                <w:sz w:val="20"/>
                <w:szCs w:val="20"/>
              </w:rPr>
              <w:t xml:space="preserve">In February 2011, </w:t>
            </w:r>
            <w:proofErr w:type="spellStart"/>
            <w:r w:rsidRPr="00860BC4">
              <w:rPr>
                <w:rFonts w:asciiTheme="minorHAnsi" w:hAnsiTheme="minorHAnsi" w:cs="Arial"/>
                <w:i/>
                <w:sz w:val="20"/>
                <w:szCs w:val="20"/>
              </w:rPr>
              <w:t>MyIPO</w:t>
            </w:r>
            <w:proofErr w:type="spellEnd"/>
            <w:r w:rsidRPr="00860BC4">
              <w:rPr>
                <w:rFonts w:asciiTheme="minorHAnsi" w:hAnsiTheme="minorHAnsi" w:cs="Arial"/>
                <w:i/>
                <w:sz w:val="20"/>
                <w:szCs w:val="20"/>
              </w:rPr>
              <w:t xml:space="preserve"> has introduced expedited examination for registration of patent and trade mark. Under the expedited examination, the pendency period for patent is 20 months from the date of filing and pendency period for trade mark is 6 months and 3 weeks from the date of filing. The expedited examination is only applicable on clear cut case basis.</w:t>
            </w:r>
          </w:p>
          <w:p w:rsidR="00BC2608" w:rsidRPr="00860BC4" w:rsidRDefault="00BC2608" w:rsidP="00754887">
            <w:pPr>
              <w:pStyle w:val="ListParagraph"/>
              <w:numPr>
                <w:ilvl w:val="0"/>
                <w:numId w:val="20"/>
              </w:numPr>
              <w:ind w:left="338"/>
              <w:rPr>
                <w:rFonts w:asciiTheme="minorHAnsi" w:hAnsiTheme="minorHAnsi" w:cs="Arial"/>
                <w:i/>
                <w:sz w:val="20"/>
                <w:szCs w:val="20"/>
              </w:rPr>
            </w:pPr>
            <w:r w:rsidRPr="00860BC4">
              <w:rPr>
                <w:rFonts w:asciiTheme="minorHAnsi" w:hAnsiTheme="minorHAnsi" w:cs="Arial"/>
                <w:i/>
                <w:sz w:val="20"/>
                <w:szCs w:val="20"/>
              </w:rPr>
              <w:t xml:space="preserve">In 2011, </w:t>
            </w:r>
            <w:proofErr w:type="spellStart"/>
            <w:r w:rsidRPr="00860BC4">
              <w:rPr>
                <w:rFonts w:asciiTheme="minorHAnsi" w:hAnsiTheme="minorHAnsi" w:cs="Arial"/>
                <w:i/>
                <w:sz w:val="20"/>
                <w:szCs w:val="20"/>
              </w:rPr>
              <w:t>MyIPO</w:t>
            </w:r>
            <w:proofErr w:type="spellEnd"/>
            <w:r w:rsidRPr="00860BC4">
              <w:rPr>
                <w:rFonts w:asciiTheme="minorHAnsi" w:hAnsiTheme="minorHAnsi" w:cs="Arial"/>
                <w:i/>
                <w:sz w:val="20"/>
                <w:szCs w:val="20"/>
              </w:rPr>
              <w:t xml:space="preserve"> upgraded the IP Online System to provide a secured web-based system to search and file Patents, Trade Marks, </w:t>
            </w:r>
            <w:proofErr w:type="gramStart"/>
            <w:r w:rsidRPr="00860BC4">
              <w:rPr>
                <w:rFonts w:asciiTheme="minorHAnsi" w:hAnsiTheme="minorHAnsi" w:cs="Arial"/>
                <w:i/>
                <w:sz w:val="20"/>
                <w:szCs w:val="20"/>
              </w:rPr>
              <w:t>Industrial</w:t>
            </w:r>
            <w:proofErr w:type="gramEnd"/>
            <w:r w:rsidRPr="00860BC4">
              <w:rPr>
                <w:rFonts w:asciiTheme="minorHAnsi" w:hAnsiTheme="minorHAnsi" w:cs="Arial"/>
                <w:i/>
                <w:sz w:val="20"/>
                <w:szCs w:val="20"/>
              </w:rPr>
              <w:t xml:space="preserve"> Designs and Geographical Indications applications.</w:t>
            </w:r>
          </w:p>
          <w:p w:rsidR="00BC2608" w:rsidRPr="00860BC4" w:rsidRDefault="00BC2608" w:rsidP="00754887">
            <w:pPr>
              <w:pStyle w:val="ListParagraph"/>
              <w:numPr>
                <w:ilvl w:val="0"/>
                <w:numId w:val="20"/>
              </w:numPr>
              <w:ind w:left="338"/>
              <w:rPr>
                <w:rFonts w:asciiTheme="minorHAnsi" w:hAnsiTheme="minorHAnsi" w:cs="Arial"/>
                <w:i/>
                <w:sz w:val="20"/>
                <w:szCs w:val="20"/>
              </w:rPr>
            </w:pPr>
            <w:proofErr w:type="spellStart"/>
            <w:r w:rsidRPr="00860BC4">
              <w:rPr>
                <w:rFonts w:asciiTheme="minorHAnsi" w:hAnsiTheme="minorHAnsi" w:cs="Arial"/>
                <w:i/>
                <w:sz w:val="20"/>
                <w:szCs w:val="20"/>
              </w:rPr>
              <w:t>MyIPO</w:t>
            </w:r>
            <w:proofErr w:type="spellEnd"/>
            <w:r w:rsidRPr="00860BC4">
              <w:rPr>
                <w:rFonts w:asciiTheme="minorHAnsi" w:hAnsiTheme="minorHAnsi" w:cs="Arial"/>
                <w:i/>
                <w:sz w:val="20"/>
                <w:szCs w:val="20"/>
              </w:rPr>
              <w:t xml:space="preserve"> developed </w:t>
            </w:r>
            <w:proofErr w:type="spellStart"/>
            <w:r w:rsidRPr="00860BC4">
              <w:rPr>
                <w:rFonts w:asciiTheme="minorHAnsi" w:hAnsiTheme="minorHAnsi" w:cs="Arial"/>
                <w:i/>
                <w:sz w:val="20"/>
                <w:szCs w:val="20"/>
              </w:rPr>
              <w:t>MyTDKLto</w:t>
            </w:r>
            <w:proofErr w:type="spellEnd"/>
            <w:r w:rsidRPr="00860BC4">
              <w:rPr>
                <w:rFonts w:asciiTheme="minorHAnsi" w:hAnsiTheme="minorHAnsi" w:cs="Arial"/>
                <w:i/>
                <w:sz w:val="20"/>
                <w:szCs w:val="20"/>
              </w:rPr>
              <w:t xml:space="preserve"> protect nation’s traditional knowledge from being exploited unethically. The electronic database will assist patent examiners in processing patent applications.</w:t>
            </w:r>
          </w:p>
          <w:p w:rsidR="00BC2608" w:rsidRPr="00860BC4" w:rsidRDefault="00BC2608" w:rsidP="00754887">
            <w:pPr>
              <w:pStyle w:val="ListParagraph"/>
              <w:numPr>
                <w:ilvl w:val="0"/>
                <w:numId w:val="20"/>
              </w:numPr>
              <w:ind w:left="338"/>
              <w:rPr>
                <w:rFonts w:asciiTheme="minorHAnsi" w:hAnsiTheme="minorHAnsi" w:cs="Arial"/>
                <w:i/>
                <w:sz w:val="20"/>
                <w:szCs w:val="20"/>
              </w:rPr>
            </w:pPr>
            <w:r w:rsidRPr="00860BC4">
              <w:rPr>
                <w:rFonts w:asciiTheme="minorHAnsi" w:hAnsiTheme="minorHAnsi" w:cs="Arial"/>
                <w:i/>
                <w:sz w:val="20"/>
                <w:szCs w:val="20"/>
              </w:rPr>
              <w:t xml:space="preserve">In improving the awareness programmes, </w:t>
            </w:r>
            <w:proofErr w:type="spellStart"/>
            <w:r w:rsidRPr="00860BC4">
              <w:rPr>
                <w:rFonts w:asciiTheme="minorHAnsi" w:hAnsiTheme="minorHAnsi" w:cs="Arial"/>
                <w:i/>
                <w:sz w:val="20"/>
                <w:szCs w:val="20"/>
              </w:rPr>
              <w:t>MyIPO</w:t>
            </w:r>
            <w:proofErr w:type="spellEnd"/>
            <w:r w:rsidRPr="00860BC4">
              <w:rPr>
                <w:rFonts w:asciiTheme="minorHAnsi" w:hAnsiTheme="minorHAnsi" w:cs="Arial"/>
                <w:i/>
                <w:sz w:val="20"/>
                <w:szCs w:val="20"/>
              </w:rPr>
              <w:t xml:space="preserve"> has launched New Media Plan which includes publication of articles relating to IP component and Special Insertion in major newspaper, radio and television interviews as well as television coverage on </w:t>
            </w:r>
            <w:proofErr w:type="spellStart"/>
            <w:r w:rsidRPr="00860BC4">
              <w:rPr>
                <w:rFonts w:asciiTheme="minorHAnsi" w:hAnsiTheme="minorHAnsi" w:cs="Arial"/>
                <w:i/>
                <w:sz w:val="20"/>
                <w:szCs w:val="20"/>
              </w:rPr>
              <w:t>MyIPO’s</w:t>
            </w:r>
            <w:proofErr w:type="spellEnd"/>
            <w:r w:rsidRPr="00860BC4">
              <w:rPr>
                <w:rFonts w:asciiTheme="minorHAnsi" w:hAnsiTheme="minorHAnsi" w:cs="Arial"/>
                <w:i/>
                <w:sz w:val="20"/>
                <w:szCs w:val="20"/>
              </w:rPr>
              <w:t xml:space="preserve"> activities. </w:t>
            </w:r>
            <w:proofErr w:type="spellStart"/>
            <w:r w:rsidRPr="00860BC4">
              <w:rPr>
                <w:rFonts w:asciiTheme="minorHAnsi" w:hAnsiTheme="minorHAnsi" w:cs="Arial"/>
                <w:i/>
                <w:sz w:val="20"/>
                <w:szCs w:val="20"/>
              </w:rPr>
              <w:t>MyIPO</w:t>
            </w:r>
            <w:proofErr w:type="spellEnd"/>
            <w:r w:rsidRPr="00860BC4">
              <w:rPr>
                <w:rFonts w:asciiTheme="minorHAnsi" w:hAnsiTheme="minorHAnsi" w:cs="Arial"/>
                <w:i/>
                <w:sz w:val="20"/>
                <w:szCs w:val="20"/>
              </w:rPr>
              <w:t xml:space="preserve"> has also implemented IP Mobile Clinic and knock-door approach to reach the public and to disseminate information on the importance of intellectual property protection through registration. </w:t>
            </w:r>
          </w:p>
          <w:p w:rsidR="00BC2608" w:rsidRPr="00860BC4" w:rsidRDefault="00BC2608" w:rsidP="00754887">
            <w:pPr>
              <w:pStyle w:val="ListParagraph"/>
              <w:numPr>
                <w:ilvl w:val="0"/>
                <w:numId w:val="20"/>
              </w:numPr>
              <w:ind w:left="338"/>
              <w:rPr>
                <w:rFonts w:asciiTheme="minorHAnsi" w:hAnsiTheme="minorHAnsi" w:cs="Arial"/>
                <w:i/>
                <w:sz w:val="20"/>
                <w:szCs w:val="20"/>
              </w:rPr>
            </w:pPr>
            <w:r w:rsidRPr="00860BC4">
              <w:rPr>
                <w:rFonts w:asciiTheme="minorHAnsi" w:hAnsiTheme="minorHAnsi" w:cs="Arial"/>
                <w:i/>
                <w:sz w:val="20"/>
                <w:szCs w:val="20"/>
              </w:rPr>
              <w:t xml:space="preserve">In reaching out for the youth and social media network users, </w:t>
            </w:r>
            <w:proofErr w:type="spellStart"/>
            <w:r w:rsidRPr="00860BC4">
              <w:rPr>
                <w:rFonts w:asciiTheme="minorHAnsi" w:hAnsiTheme="minorHAnsi" w:cs="Arial"/>
                <w:i/>
                <w:sz w:val="20"/>
                <w:szCs w:val="20"/>
              </w:rPr>
              <w:t>MyIPO</w:t>
            </w:r>
            <w:proofErr w:type="spellEnd"/>
            <w:r w:rsidRPr="00860BC4">
              <w:rPr>
                <w:rFonts w:asciiTheme="minorHAnsi" w:hAnsiTheme="minorHAnsi" w:cs="Arial"/>
                <w:i/>
                <w:sz w:val="20"/>
                <w:szCs w:val="20"/>
              </w:rPr>
              <w:t xml:space="preserve"> launched its </w:t>
            </w:r>
            <w:proofErr w:type="spellStart"/>
            <w:r w:rsidRPr="00860BC4">
              <w:rPr>
                <w:rFonts w:asciiTheme="minorHAnsi" w:hAnsiTheme="minorHAnsi" w:cs="Arial"/>
                <w:i/>
                <w:sz w:val="20"/>
                <w:szCs w:val="20"/>
              </w:rPr>
              <w:t>Facebook</w:t>
            </w:r>
            <w:proofErr w:type="spellEnd"/>
            <w:proofErr w:type="gramStart"/>
            <w:r w:rsidRPr="00860BC4">
              <w:rPr>
                <w:rFonts w:asciiTheme="minorHAnsi" w:hAnsiTheme="minorHAnsi" w:cs="Arial"/>
                <w:i/>
                <w:sz w:val="20"/>
                <w:szCs w:val="20"/>
              </w:rPr>
              <w:t xml:space="preserve">,  </w:t>
            </w:r>
            <w:proofErr w:type="spellStart"/>
            <w:r w:rsidRPr="00860BC4">
              <w:rPr>
                <w:rFonts w:asciiTheme="minorHAnsi" w:hAnsiTheme="minorHAnsi" w:cs="Arial"/>
                <w:i/>
                <w:sz w:val="20"/>
                <w:szCs w:val="20"/>
              </w:rPr>
              <w:t>Youtube</w:t>
            </w:r>
            <w:proofErr w:type="spellEnd"/>
            <w:proofErr w:type="gramEnd"/>
            <w:r w:rsidRPr="00860BC4">
              <w:rPr>
                <w:rFonts w:asciiTheme="minorHAnsi" w:hAnsiTheme="minorHAnsi" w:cs="Arial"/>
                <w:i/>
                <w:sz w:val="20"/>
                <w:szCs w:val="20"/>
              </w:rPr>
              <w:t xml:space="preserve"> and Twitter as an alternative mediums to disseminate information on intellectual property and </w:t>
            </w:r>
            <w:proofErr w:type="spellStart"/>
            <w:r w:rsidRPr="00860BC4">
              <w:rPr>
                <w:rFonts w:asciiTheme="minorHAnsi" w:hAnsiTheme="minorHAnsi" w:cs="Arial"/>
                <w:i/>
                <w:sz w:val="20"/>
                <w:szCs w:val="20"/>
              </w:rPr>
              <w:t>MyIPO’s</w:t>
            </w:r>
            <w:proofErr w:type="spellEnd"/>
            <w:r w:rsidRPr="00860BC4">
              <w:rPr>
                <w:rFonts w:asciiTheme="minorHAnsi" w:hAnsiTheme="minorHAnsi" w:cs="Arial"/>
                <w:i/>
                <w:sz w:val="20"/>
                <w:szCs w:val="20"/>
              </w:rPr>
              <w:t xml:space="preserve"> activities. </w:t>
            </w:r>
          </w:p>
          <w:p w:rsidR="00BC2608" w:rsidRPr="00860BC4" w:rsidRDefault="00BC2608" w:rsidP="00754887">
            <w:pPr>
              <w:pStyle w:val="ListParagraph"/>
              <w:numPr>
                <w:ilvl w:val="0"/>
                <w:numId w:val="20"/>
              </w:numPr>
              <w:ind w:left="338"/>
              <w:rPr>
                <w:rFonts w:asciiTheme="minorHAnsi" w:hAnsiTheme="minorHAnsi" w:cs="Arial"/>
                <w:i/>
                <w:sz w:val="20"/>
                <w:szCs w:val="20"/>
              </w:rPr>
            </w:pPr>
            <w:r w:rsidRPr="00860BC4">
              <w:rPr>
                <w:rFonts w:asciiTheme="minorHAnsi" w:hAnsiTheme="minorHAnsi" w:cs="Arial"/>
                <w:i/>
                <w:sz w:val="20"/>
                <w:szCs w:val="20"/>
              </w:rPr>
              <w:t xml:space="preserve">In April 2011, </w:t>
            </w:r>
            <w:proofErr w:type="spellStart"/>
            <w:r w:rsidRPr="00860BC4">
              <w:rPr>
                <w:rFonts w:asciiTheme="minorHAnsi" w:hAnsiTheme="minorHAnsi" w:cs="Arial"/>
                <w:i/>
                <w:sz w:val="20"/>
                <w:szCs w:val="20"/>
              </w:rPr>
              <w:t>MyIPO</w:t>
            </w:r>
            <w:proofErr w:type="spellEnd"/>
            <w:r w:rsidRPr="00860BC4">
              <w:rPr>
                <w:rFonts w:asciiTheme="minorHAnsi" w:hAnsiTheme="minorHAnsi" w:cs="Arial"/>
                <w:i/>
                <w:sz w:val="20"/>
                <w:szCs w:val="20"/>
              </w:rPr>
              <w:t xml:space="preserve"> launched first edition of </w:t>
            </w:r>
            <w:proofErr w:type="spellStart"/>
            <w:r w:rsidRPr="00860BC4">
              <w:rPr>
                <w:rFonts w:asciiTheme="minorHAnsi" w:hAnsiTheme="minorHAnsi" w:cs="Arial"/>
                <w:i/>
                <w:sz w:val="20"/>
                <w:szCs w:val="20"/>
              </w:rPr>
              <w:t>MyIP</w:t>
            </w:r>
            <w:proofErr w:type="spellEnd"/>
            <w:r w:rsidRPr="00860BC4">
              <w:rPr>
                <w:rFonts w:asciiTheme="minorHAnsi" w:hAnsiTheme="minorHAnsi" w:cs="Arial"/>
                <w:i/>
                <w:sz w:val="20"/>
                <w:szCs w:val="20"/>
              </w:rPr>
              <w:t xml:space="preserve"> Bulletin to reach out the public through academic writings focusing on national and international current issues relating to intellectual property.</w:t>
            </w:r>
          </w:p>
          <w:p w:rsidR="00BC2608" w:rsidRPr="00860BC4" w:rsidRDefault="00BC2608" w:rsidP="00754887">
            <w:pPr>
              <w:pStyle w:val="ListParagraph"/>
              <w:numPr>
                <w:ilvl w:val="0"/>
                <w:numId w:val="20"/>
              </w:numPr>
              <w:ind w:left="338"/>
              <w:rPr>
                <w:rFonts w:asciiTheme="minorHAnsi" w:hAnsiTheme="minorHAnsi" w:cs="Arial"/>
                <w:i/>
                <w:sz w:val="20"/>
                <w:szCs w:val="20"/>
              </w:rPr>
            </w:pPr>
            <w:proofErr w:type="spellStart"/>
            <w:r w:rsidRPr="00860BC4">
              <w:rPr>
                <w:rFonts w:asciiTheme="minorHAnsi" w:hAnsiTheme="minorHAnsi" w:cs="Arial"/>
                <w:i/>
                <w:sz w:val="20"/>
                <w:szCs w:val="20"/>
              </w:rPr>
              <w:t>MyIPO</w:t>
            </w:r>
            <w:proofErr w:type="spellEnd"/>
            <w:r w:rsidRPr="00860BC4">
              <w:rPr>
                <w:rFonts w:asciiTheme="minorHAnsi" w:hAnsiTheme="minorHAnsi" w:cs="Arial"/>
                <w:i/>
                <w:sz w:val="20"/>
                <w:szCs w:val="20"/>
              </w:rPr>
              <w:t xml:space="preserve"> initiated strategic partnership with financial institution and government-linked company to study </w:t>
            </w:r>
            <w:proofErr w:type="gramStart"/>
            <w:r w:rsidRPr="00860BC4">
              <w:rPr>
                <w:rFonts w:asciiTheme="minorHAnsi" w:hAnsiTheme="minorHAnsi" w:cs="Arial"/>
                <w:i/>
                <w:sz w:val="20"/>
                <w:szCs w:val="20"/>
              </w:rPr>
              <w:t>on  intellectual</w:t>
            </w:r>
            <w:proofErr w:type="gramEnd"/>
            <w:r w:rsidRPr="00860BC4">
              <w:rPr>
                <w:rFonts w:asciiTheme="minorHAnsi" w:hAnsiTheme="minorHAnsi" w:cs="Arial"/>
                <w:i/>
                <w:sz w:val="20"/>
                <w:szCs w:val="20"/>
              </w:rPr>
              <w:t xml:space="preserve"> property valuation (IP Valuation) model.</w:t>
            </w:r>
          </w:p>
          <w:p w:rsidR="00BC2608" w:rsidRPr="00063155" w:rsidRDefault="00BC2608" w:rsidP="00754887">
            <w:pPr>
              <w:pStyle w:val="ListParagraph"/>
              <w:ind w:left="432"/>
              <w:jc w:val="both"/>
              <w:rPr>
                <w:i/>
                <w:sz w:val="20"/>
              </w:rPr>
            </w:pPr>
          </w:p>
        </w:tc>
        <w:tc>
          <w:tcPr>
            <w:tcW w:w="5670" w:type="dxa"/>
          </w:tcPr>
          <w:p w:rsidR="00BC2608" w:rsidRPr="00860BC4" w:rsidRDefault="00BC2608" w:rsidP="00754887">
            <w:pPr>
              <w:pStyle w:val="ListParagraph"/>
              <w:numPr>
                <w:ilvl w:val="0"/>
                <w:numId w:val="20"/>
              </w:numPr>
              <w:ind w:left="337"/>
              <w:rPr>
                <w:rFonts w:asciiTheme="minorHAnsi" w:hAnsiTheme="minorHAnsi" w:cs="Arial"/>
                <w:i/>
                <w:sz w:val="20"/>
                <w:szCs w:val="20"/>
              </w:rPr>
            </w:pPr>
            <w:bookmarkStart w:id="21" w:name="Cell14"/>
            <w:bookmarkEnd w:id="21"/>
            <w:r w:rsidRPr="00860BC4">
              <w:rPr>
                <w:rFonts w:asciiTheme="minorHAnsi" w:hAnsiTheme="minorHAnsi" w:cs="Arial"/>
                <w:i/>
                <w:sz w:val="20"/>
                <w:szCs w:val="20"/>
              </w:rPr>
              <w:t>To review and to update Industrial Designs Act 1996, Patents Act 1983 and Trade Marks Act 1976.</w:t>
            </w:r>
          </w:p>
          <w:p w:rsidR="00BC2608" w:rsidRPr="00860BC4" w:rsidRDefault="00BC2608" w:rsidP="00754887">
            <w:pPr>
              <w:pStyle w:val="ListParagraph"/>
              <w:numPr>
                <w:ilvl w:val="0"/>
                <w:numId w:val="20"/>
              </w:numPr>
              <w:ind w:left="337"/>
              <w:rPr>
                <w:rFonts w:asciiTheme="minorHAnsi" w:hAnsiTheme="minorHAnsi" w:cs="Arial"/>
                <w:i/>
                <w:sz w:val="20"/>
                <w:szCs w:val="20"/>
              </w:rPr>
            </w:pPr>
            <w:r w:rsidRPr="00860BC4">
              <w:rPr>
                <w:rFonts w:asciiTheme="minorHAnsi" w:hAnsiTheme="minorHAnsi" w:cs="Arial"/>
                <w:i/>
                <w:sz w:val="20"/>
                <w:szCs w:val="20"/>
              </w:rPr>
              <w:t>To accede to WIPO Phonograms and Performances Treaty (WPPT) and WIPO Copyright Treaty (WCT).</w:t>
            </w:r>
          </w:p>
          <w:p w:rsidR="00BC2608" w:rsidRPr="00860BC4" w:rsidRDefault="00BC2608" w:rsidP="00754887">
            <w:pPr>
              <w:pStyle w:val="ListParagraph"/>
              <w:numPr>
                <w:ilvl w:val="0"/>
                <w:numId w:val="20"/>
              </w:numPr>
              <w:ind w:left="337"/>
              <w:rPr>
                <w:rFonts w:asciiTheme="minorHAnsi" w:hAnsiTheme="minorHAnsi" w:cs="Arial"/>
                <w:i/>
                <w:sz w:val="20"/>
                <w:szCs w:val="20"/>
              </w:rPr>
            </w:pPr>
            <w:r w:rsidRPr="00860BC4">
              <w:rPr>
                <w:rFonts w:asciiTheme="minorHAnsi" w:hAnsiTheme="minorHAnsi" w:cs="Arial"/>
                <w:i/>
                <w:sz w:val="20"/>
                <w:szCs w:val="20"/>
              </w:rPr>
              <w:t>To develop Copyright Voluntary Notification System. A database to record information on copyrighted works.</w:t>
            </w:r>
          </w:p>
          <w:p w:rsidR="00BC2608" w:rsidRPr="00860BC4" w:rsidRDefault="00BC2608" w:rsidP="00754887">
            <w:pPr>
              <w:pStyle w:val="ListParagraph"/>
              <w:numPr>
                <w:ilvl w:val="0"/>
                <w:numId w:val="20"/>
              </w:numPr>
              <w:ind w:left="337"/>
              <w:rPr>
                <w:rFonts w:asciiTheme="minorHAnsi" w:hAnsiTheme="minorHAnsi" w:cs="Arial"/>
                <w:i/>
                <w:sz w:val="20"/>
                <w:szCs w:val="20"/>
              </w:rPr>
            </w:pPr>
            <w:r w:rsidRPr="00860BC4">
              <w:rPr>
                <w:rFonts w:asciiTheme="minorHAnsi" w:hAnsiTheme="minorHAnsi" w:cs="Arial"/>
                <w:i/>
                <w:sz w:val="20"/>
                <w:szCs w:val="20"/>
              </w:rPr>
              <w:t xml:space="preserve">To develop IP E-Gazette (online) service for advertisement of patents, </w:t>
            </w:r>
            <w:proofErr w:type="spellStart"/>
            <w:r w:rsidRPr="00860BC4">
              <w:rPr>
                <w:rFonts w:asciiTheme="minorHAnsi" w:hAnsiTheme="minorHAnsi" w:cs="Arial"/>
                <w:i/>
                <w:sz w:val="20"/>
                <w:szCs w:val="20"/>
              </w:rPr>
              <w:t>trade marks</w:t>
            </w:r>
            <w:proofErr w:type="spellEnd"/>
            <w:r w:rsidRPr="00860BC4">
              <w:rPr>
                <w:rFonts w:asciiTheme="minorHAnsi" w:hAnsiTheme="minorHAnsi" w:cs="Arial"/>
                <w:i/>
                <w:sz w:val="20"/>
                <w:szCs w:val="20"/>
              </w:rPr>
              <w:t xml:space="preserve">, industrial designs and geographical indications. </w:t>
            </w:r>
          </w:p>
          <w:p w:rsidR="00BC2608" w:rsidRPr="00860BC4" w:rsidRDefault="00BC2608" w:rsidP="00754887">
            <w:pPr>
              <w:pStyle w:val="ListParagraph"/>
              <w:numPr>
                <w:ilvl w:val="0"/>
                <w:numId w:val="20"/>
              </w:numPr>
              <w:ind w:left="337"/>
              <w:rPr>
                <w:rFonts w:asciiTheme="minorHAnsi" w:hAnsiTheme="minorHAnsi" w:cs="Arial"/>
                <w:i/>
                <w:sz w:val="20"/>
                <w:szCs w:val="20"/>
              </w:rPr>
            </w:pPr>
            <w:r w:rsidRPr="00860BC4">
              <w:rPr>
                <w:rFonts w:asciiTheme="minorHAnsi" w:hAnsiTheme="minorHAnsi" w:cs="Arial"/>
                <w:i/>
                <w:sz w:val="20"/>
                <w:szCs w:val="20"/>
              </w:rPr>
              <w:t xml:space="preserve">To increase the number of data and information relating to species of medicinal plants in </w:t>
            </w:r>
            <w:proofErr w:type="spellStart"/>
            <w:r w:rsidRPr="00860BC4">
              <w:rPr>
                <w:rFonts w:asciiTheme="minorHAnsi" w:hAnsiTheme="minorHAnsi" w:cs="Arial"/>
                <w:i/>
                <w:sz w:val="20"/>
                <w:szCs w:val="20"/>
              </w:rPr>
              <w:t>MyTKDL</w:t>
            </w:r>
            <w:proofErr w:type="spellEnd"/>
            <w:r w:rsidRPr="00860BC4">
              <w:rPr>
                <w:rFonts w:asciiTheme="minorHAnsi" w:hAnsiTheme="minorHAnsi" w:cs="Arial"/>
                <w:i/>
                <w:sz w:val="20"/>
                <w:szCs w:val="20"/>
              </w:rPr>
              <w:t xml:space="preserve"> database.</w:t>
            </w:r>
          </w:p>
          <w:p w:rsidR="00BC2608" w:rsidRPr="00860BC4" w:rsidRDefault="00BC2608" w:rsidP="00754887">
            <w:pPr>
              <w:pStyle w:val="ListParagraph"/>
              <w:numPr>
                <w:ilvl w:val="0"/>
                <w:numId w:val="20"/>
              </w:numPr>
              <w:ind w:left="337"/>
              <w:rPr>
                <w:rFonts w:asciiTheme="minorHAnsi" w:hAnsiTheme="minorHAnsi" w:cs="Arial"/>
                <w:i/>
                <w:sz w:val="20"/>
                <w:szCs w:val="20"/>
              </w:rPr>
            </w:pPr>
            <w:r w:rsidRPr="00860BC4">
              <w:rPr>
                <w:rFonts w:asciiTheme="minorHAnsi" w:hAnsiTheme="minorHAnsi" w:cs="Arial"/>
                <w:i/>
                <w:sz w:val="20"/>
                <w:szCs w:val="20"/>
              </w:rPr>
              <w:t>To enhance awareness programmes by implementing IP Familiarization Programme, IP Mascot, IP Friends Club and to continue with the New Media Plan.</w:t>
            </w:r>
          </w:p>
          <w:p w:rsidR="00BC2608" w:rsidRPr="00860BC4" w:rsidRDefault="00BC2608" w:rsidP="00754887">
            <w:pPr>
              <w:pStyle w:val="ListParagraph"/>
              <w:numPr>
                <w:ilvl w:val="0"/>
                <w:numId w:val="20"/>
              </w:numPr>
              <w:ind w:left="337"/>
              <w:rPr>
                <w:rFonts w:asciiTheme="minorHAnsi" w:hAnsiTheme="minorHAnsi" w:cs="Arial"/>
                <w:i/>
                <w:sz w:val="20"/>
                <w:szCs w:val="20"/>
              </w:rPr>
            </w:pPr>
            <w:r w:rsidRPr="00860BC4">
              <w:rPr>
                <w:rFonts w:asciiTheme="minorHAnsi" w:hAnsiTheme="minorHAnsi" w:cs="Arial"/>
                <w:i/>
                <w:sz w:val="20"/>
                <w:szCs w:val="20"/>
              </w:rPr>
              <w:t>To establish IP Valuation mechanism that will assist IP owners to evaluate their IP and to be used as collateral in obtaining financial assistance from relevant financial institutions.</w:t>
            </w:r>
          </w:p>
          <w:p w:rsidR="00BC2608" w:rsidRPr="00063155" w:rsidRDefault="00BC2608" w:rsidP="00754887">
            <w:pPr>
              <w:pStyle w:val="ListParagraph"/>
              <w:ind w:left="432"/>
              <w:jc w:val="both"/>
              <w:rPr>
                <w:i/>
                <w:sz w:val="20"/>
              </w:rPr>
            </w:pPr>
          </w:p>
        </w:tc>
      </w:tr>
      <w:tr w:rsidR="00BC2608" w:rsidRPr="0001261C">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BC2608" w:rsidRPr="00063155" w:rsidRDefault="00BC2608" w:rsidP="009E28DA">
            <w:pPr>
              <w:pStyle w:val="Heading9"/>
              <w:rPr>
                <w:rFonts w:ascii="Calibri" w:hAnsi="Calibri"/>
                <w:b w:val="0"/>
              </w:rPr>
            </w:pPr>
            <w:r w:rsidRPr="00063155">
              <w:rPr>
                <w:rFonts w:ascii="Calibri" w:hAnsi="Calibri"/>
                <w:b w:val="0"/>
              </w:rPr>
              <w:t>www.myipo.gov.my</w:t>
            </w:r>
          </w:p>
        </w:tc>
        <w:tc>
          <w:tcPr>
            <w:tcW w:w="5670" w:type="dxa"/>
          </w:tcPr>
          <w:p w:rsidR="00BC2608" w:rsidRPr="00063155" w:rsidRDefault="00BC2608" w:rsidP="009E28DA">
            <w:pPr>
              <w:pStyle w:val="Heading9"/>
              <w:rPr>
                <w:rFonts w:ascii="Calibri" w:hAnsi="Calibri"/>
                <w:b w:val="0"/>
              </w:rPr>
            </w:pPr>
          </w:p>
        </w:tc>
      </w:tr>
      <w:tr w:rsidR="00BC2608" w:rsidRPr="0001261C">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BC2608" w:rsidRPr="00063155" w:rsidRDefault="00F64B41" w:rsidP="009E28DA">
            <w:pPr>
              <w:pStyle w:val="Heading9"/>
              <w:rPr>
                <w:rFonts w:ascii="Calibri" w:hAnsi="Calibri"/>
                <w:b w:val="0"/>
              </w:rPr>
            </w:pPr>
            <w:hyperlink r:id="rId11" w:history="1">
              <w:r w:rsidR="00BC2608" w:rsidRPr="00063155">
                <w:rPr>
                  <w:rStyle w:val="Hyperlink"/>
                  <w:rFonts w:ascii="Calibri" w:hAnsi="Calibri"/>
                  <w:b w:val="0"/>
                  <w:color w:val="auto"/>
                </w:rPr>
                <w:t>seaisah@myipo.gov.my</w:t>
              </w:r>
            </w:hyperlink>
            <w:r w:rsidR="00BC2608" w:rsidRPr="00063155">
              <w:rPr>
                <w:rFonts w:ascii="Calibri" w:hAnsi="Calibri"/>
                <w:b w:val="0"/>
              </w:rPr>
              <w:t xml:space="preserve">, </w:t>
            </w:r>
            <w:hyperlink r:id="rId12" w:history="1">
              <w:r w:rsidR="00BC2608" w:rsidRPr="00063155">
                <w:rPr>
                  <w:rStyle w:val="Hyperlink"/>
                  <w:rFonts w:ascii="Calibri" w:hAnsi="Calibri"/>
                  <w:b w:val="0"/>
                  <w:color w:val="auto"/>
                </w:rPr>
                <w:t>apecmiti@miti.gov.my</w:t>
              </w:r>
            </w:hyperlink>
          </w:p>
          <w:p w:rsidR="00BC2608" w:rsidRPr="00063155" w:rsidRDefault="00BC2608" w:rsidP="00754887">
            <w:pPr>
              <w:pStyle w:val="Heading9"/>
              <w:rPr>
                <w:rFonts w:asciiTheme="minorHAnsi" w:hAnsiTheme="minorHAnsi"/>
              </w:rPr>
            </w:pPr>
            <w:r w:rsidRPr="00063155">
              <w:rPr>
                <w:rFonts w:asciiTheme="minorHAnsi" w:hAnsiTheme="minorHAnsi"/>
              </w:rPr>
              <w:t xml:space="preserve">Siti </w:t>
            </w:r>
            <w:proofErr w:type="spellStart"/>
            <w:r w:rsidRPr="00063155">
              <w:rPr>
                <w:rFonts w:asciiTheme="minorHAnsi" w:hAnsiTheme="minorHAnsi"/>
              </w:rPr>
              <w:t>Eaisah</w:t>
            </w:r>
            <w:proofErr w:type="spellEnd"/>
            <w:r w:rsidRPr="00063155">
              <w:rPr>
                <w:rFonts w:asciiTheme="minorHAnsi" w:hAnsiTheme="minorHAnsi"/>
              </w:rPr>
              <w:t xml:space="preserve"> Mohamad</w:t>
            </w:r>
          </w:p>
          <w:p w:rsidR="00BC2608" w:rsidRPr="00063155" w:rsidRDefault="00BC2608" w:rsidP="00754887">
            <w:pPr>
              <w:rPr>
                <w:rFonts w:asciiTheme="minorHAnsi" w:hAnsiTheme="minorHAnsi" w:cstheme="minorHAnsi"/>
                <w:b/>
                <w:i/>
                <w:sz w:val="20"/>
              </w:rPr>
            </w:pPr>
            <w:r w:rsidRPr="00063155">
              <w:rPr>
                <w:rFonts w:asciiTheme="minorHAnsi" w:hAnsiTheme="minorHAnsi" w:cstheme="minorHAnsi"/>
                <w:b/>
                <w:i/>
                <w:sz w:val="20"/>
              </w:rPr>
              <w:t>Senior Director</w:t>
            </w:r>
          </w:p>
          <w:p w:rsidR="00BC2608" w:rsidRPr="00063155" w:rsidRDefault="00BC2608" w:rsidP="00754887">
            <w:pPr>
              <w:rPr>
                <w:rFonts w:asciiTheme="minorHAnsi" w:hAnsiTheme="minorHAnsi" w:cstheme="minorHAnsi"/>
                <w:b/>
                <w:i/>
                <w:sz w:val="20"/>
              </w:rPr>
            </w:pPr>
            <w:r w:rsidRPr="00063155">
              <w:rPr>
                <w:rFonts w:asciiTheme="minorHAnsi" w:hAnsiTheme="minorHAnsi" w:cstheme="minorHAnsi"/>
                <w:b/>
                <w:i/>
                <w:sz w:val="20"/>
              </w:rPr>
              <w:t>Planning and International Relations Division</w:t>
            </w:r>
          </w:p>
          <w:p w:rsidR="00BC2608" w:rsidRPr="00063155" w:rsidRDefault="00BC2608" w:rsidP="00754887">
            <w:pPr>
              <w:rPr>
                <w:rFonts w:asciiTheme="minorHAnsi" w:hAnsiTheme="minorHAnsi" w:cstheme="minorHAnsi"/>
                <w:b/>
                <w:i/>
                <w:sz w:val="20"/>
              </w:rPr>
            </w:pPr>
            <w:r w:rsidRPr="00063155">
              <w:rPr>
                <w:rFonts w:asciiTheme="minorHAnsi" w:hAnsiTheme="minorHAnsi" w:cstheme="minorHAnsi"/>
                <w:b/>
                <w:i/>
                <w:sz w:val="20"/>
              </w:rPr>
              <w:t>Intellectual Property Corporation of Malaysia (</w:t>
            </w:r>
            <w:proofErr w:type="spellStart"/>
            <w:r w:rsidRPr="00063155">
              <w:rPr>
                <w:rFonts w:asciiTheme="minorHAnsi" w:hAnsiTheme="minorHAnsi" w:cstheme="minorHAnsi"/>
                <w:b/>
                <w:i/>
                <w:sz w:val="20"/>
              </w:rPr>
              <w:t>MyIPO</w:t>
            </w:r>
            <w:proofErr w:type="spellEnd"/>
            <w:r w:rsidRPr="00063155">
              <w:rPr>
                <w:rFonts w:asciiTheme="minorHAnsi" w:hAnsiTheme="minorHAnsi" w:cstheme="minorHAnsi"/>
                <w:b/>
                <w:i/>
                <w:sz w:val="20"/>
              </w:rPr>
              <w:t>)</w:t>
            </w:r>
          </w:p>
          <w:p w:rsidR="00BC2608" w:rsidRPr="00063155" w:rsidRDefault="00BC2608" w:rsidP="00754887">
            <w:pPr>
              <w:rPr>
                <w:rFonts w:asciiTheme="minorHAnsi" w:hAnsiTheme="minorHAnsi" w:cstheme="minorHAnsi"/>
                <w:b/>
                <w:i/>
                <w:sz w:val="20"/>
              </w:rPr>
            </w:pPr>
            <w:r w:rsidRPr="00063155">
              <w:rPr>
                <w:rFonts w:asciiTheme="minorHAnsi" w:hAnsiTheme="minorHAnsi" w:cstheme="minorHAnsi"/>
                <w:b/>
                <w:i/>
                <w:sz w:val="20"/>
              </w:rPr>
              <w:t>Tel: +603 2299 8404</w:t>
            </w:r>
          </w:p>
          <w:p w:rsidR="00BC2608" w:rsidRPr="00063155" w:rsidRDefault="00BC2608" w:rsidP="00754887">
            <w:pPr>
              <w:rPr>
                <w:rFonts w:asciiTheme="minorHAnsi" w:hAnsiTheme="minorHAnsi" w:cstheme="minorHAnsi"/>
                <w:b/>
                <w:i/>
                <w:sz w:val="20"/>
              </w:rPr>
            </w:pPr>
            <w:r w:rsidRPr="00063155">
              <w:rPr>
                <w:rFonts w:asciiTheme="minorHAnsi" w:hAnsiTheme="minorHAnsi" w:cstheme="minorHAnsi"/>
                <w:b/>
                <w:i/>
                <w:sz w:val="20"/>
              </w:rPr>
              <w:t>Fax: +603 2299 8989</w:t>
            </w:r>
          </w:p>
          <w:p w:rsidR="00BC2608" w:rsidRPr="00063155" w:rsidRDefault="00BC2608" w:rsidP="00754887">
            <w:pPr>
              <w:rPr>
                <w:rFonts w:asciiTheme="minorHAnsi" w:hAnsiTheme="minorHAnsi" w:cstheme="minorHAnsi"/>
                <w:b/>
                <w:i/>
                <w:sz w:val="20"/>
              </w:rPr>
            </w:pPr>
            <w:r w:rsidRPr="00063155">
              <w:rPr>
                <w:rFonts w:asciiTheme="minorHAnsi" w:hAnsiTheme="minorHAnsi" w:cstheme="minorHAnsi"/>
                <w:b/>
                <w:i/>
                <w:sz w:val="20"/>
              </w:rPr>
              <w:t xml:space="preserve">Email: </w:t>
            </w:r>
            <w:hyperlink r:id="rId13" w:history="1">
              <w:r w:rsidRPr="00063155">
                <w:rPr>
                  <w:rStyle w:val="Hyperlink"/>
                  <w:rFonts w:asciiTheme="minorHAnsi" w:hAnsiTheme="minorHAnsi" w:cstheme="minorHAnsi"/>
                  <w:b/>
                  <w:i/>
                  <w:color w:val="auto"/>
                  <w:sz w:val="20"/>
                </w:rPr>
                <w:t>seaisah@myipo.gov.my</w:t>
              </w:r>
            </w:hyperlink>
            <w:r w:rsidRPr="00063155">
              <w:rPr>
                <w:rFonts w:asciiTheme="minorHAnsi" w:hAnsiTheme="minorHAnsi" w:cstheme="minorHAnsi"/>
                <w:b/>
                <w:i/>
                <w:sz w:val="20"/>
              </w:rPr>
              <w:t xml:space="preserve"> </w:t>
            </w:r>
          </w:p>
          <w:p w:rsidR="00BC2608" w:rsidRPr="00063155" w:rsidRDefault="00BC2608" w:rsidP="00754887">
            <w:pPr>
              <w:rPr>
                <w:i/>
              </w:rPr>
            </w:pPr>
          </w:p>
        </w:tc>
        <w:tc>
          <w:tcPr>
            <w:tcW w:w="5670" w:type="dxa"/>
          </w:tcPr>
          <w:p w:rsidR="00BC2608" w:rsidRPr="00063155" w:rsidRDefault="00BC2608" w:rsidP="009E28DA">
            <w:pPr>
              <w:pStyle w:val="Heading9"/>
              <w:rPr>
                <w:rFonts w:ascii="Calibri" w:hAnsi="Calibri"/>
                <w:b w:val="0"/>
              </w:rPr>
            </w:pPr>
          </w:p>
        </w:tc>
      </w:tr>
      <w:tr w:rsidR="00BC2608">
        <w:tc>
          <w:tcPr>
            <w:tcW w:w="3524" w:type="dxa"/>
          </w:tcPr>
          <w:p w:rsidR="00BC2608" w:rsidRPr="00BF37B1" w:rsidRDefault="00BC2608">
            <w:pPr>
              <w:rPr>
                <w:rFonts w:ascii="Calibri" w:hAnsi="Calibri"/>
                <w:b/>
                <w:i/>
                <w:sz w:val="20"/>
              </w:rPr>
            </w:pPr>
            <w:bookmarkStart w:id="22" w:name="Row8"/>
            <w:bookmarkEnd w:id="22"/>
            <w:r w:rsidRPr="00BF37B1">
              <w:rPr>
                <w:rFonts w:ascii="Calibri" w:hAnsi="Calibri"/>
                <w:b/>
                <w:i/>
                <w:sz w:val="20"/>
              </w:rPr>
              <w:t>Competition Policy</w:t>
            </w:r>
          </w:p>
          <w:p w:rsidR="00BC2608" w:rsidRPr="00BF37B1" w:rsidRDefault="00BC2608">
            <w:pPr>
              <w:rPr>
                <w:rFonts w:ascii="Calibri" w:hAnsi="Calibri"/>
                <w:b/>
                <w:i/>
                <w:sz w:val="20"/>
              </w:rPr>
            </w:pPr>
          </w:p>
        </w:tc>
        <w:tc>
          <w:tcPr>
            <w:tcW w:w="5387" w:type="dxa"/>
          </w:tcPr>
          <w:p w:rsidR="00BC2608" w:rsidRPr="00063155" w:rsidRDefault="00BC2608" w:rsidP="005F0512">
            <w:pPr>
              <w:pStyle w:val="ListParagraph"/>
              <w:numPr>
                <w:ilvl w:val="0"/>
                <w:numId w:val="8"/>
              </w:numPr>
              <w:ind w:left="432"/>
              <w:jc w:val="both"/>
              <w:rPr>
                <w:i/>
                <w:sz w:val="20"/>
              </w:rPr>
            </w:pPr>
            <w:bookmarkStart w:id="23" w:name="Cell15"/>
            <w:bookmarkEnd w:id="23"/>
            <w:r w:rsidRPr="00063155">
              <w:rPr>
                <w:rFonts w:cs="Arial"/>
                <w:i/>
                <w:sz w:val="20"/>
              </w:rPr>
              <w:t xml:space="preserve">The Competition Act 2010 and Competition </w:t>
            </w:r>
            <w:proofErr w:type="spellStart"/>
            <w:r w:rsidRPr="00063155">
              <w:rPr>
                <w:rFonts w:cs="Arial"/>
                <w:i/>
                <w:sz w:val="20"/>
              </w:rPr>
              <w:t>Commision</w:t>
            </w:r>
            <w:proofErr w:type="spellEnd"/>
            <w:r w:rsidRPr="00063155">
              <w:rPr>
                <w:rFonts w:cs="Arial"/>
                <w:i/>
                <w:sz w:val="20"/>
              </w:rPr>
              <w:t xml:space="preserve"> Act 2010 was passed in May 2010 and gazette in June 2010.</w:t>
            </w:r>
          </w:p>
          <w:p w:rsidR="00BC2608" w:rsidRPr="00063155" w:rsidRDefault="00BC2608" w:rsidP="005F0512">
            <w:pPr>
              <w:pStyle w:val="ListParagraph"/>
              <w:numPr>
                <w:ilvl w:val="0"/>
                <w:numId w:val="8"/>
              </w:numPr>
              <w:ind w:left="432"/>
              <w:jc w:val="both"/>
              <w:rPr>
                <w:i/>
                <w:sz w:val="20"/>
              </w:rPr>
            </w:pPr>
            <w:r w:rsidRPr="00063155">
              <w:rPr>
                <w:i/>
                <w:sz w:val="20"/>
              </w:rPr>
              <w:t>The Competition Commission Act 2010 came into force on 1 January 2011 while the Competition Act 2010 came into force on 1 January 2012.</w:t>
            </w:r>
          </w:p>
          <w:p w:rsidR="00BC2608" w:rsidRPr="00063155" w:rsidRDefault="00BC2608" w:rsidP="005F0512">
            <w:pPr>
              <w:pStyle w:val="ListParagraph"/>
              <w:numPr>
                <w:ilvl w:val="0"/>
                <w:numId w:val="8"/>
              </w:numPr>
              <w:ind w:left="432"/>
              <w:jc w:val="both"/>
              <w:rPr>
                <w:i/>
                <w:sz w:val="20"/>
              </w:rPr>
            </w:pPr>
            <w:r w:rsidRPr="00063155">
              <w:rPr>
                <w:i/>
                <w:sz w:val="20"/>
              </w:rPr>
              <w:t xml:space="preserve">The Competition Act 2010 seeks to promote and protect the process of competition in the Malaysian market through the prohibition of two anti-competitive practices which are Anti-Competitive Agreements and </w:t>
            </w:r>
            <w:r w:rsidRPr="00063155">
              <w:rPr>
                <w:i/>
                <w:sz w:val="20"/>
                <w:lang w:val="en-AU"/>
              </w:rPr>
              <w:t>the Abuse of Dominant Position.</w:t>
            </w:r>
          </w:p>
        </w:tc>
        <w:tc>
          <w:tcPr>
            <w:tcW w:w="5670" w:type="dxa"/>
          </w:tcPr>
          <w:p w:rsidR="00860BC4" w:rsidRPr="00483D61" w:rsidRDefault="00860BC4" w:rsidP="00860BC4">
            <w:pPr>
              <w:pStyle w:val="ListParagraph"/>
              <w:numPr>
                <w:ilvl w:val="0"/>
                <w:numId w:val="8"/>
              </w:numPr>
              <w:ind w:left="432"/>
              <w:jc w:val="both"/>
              <w:rPr>
                <w:i/>
                <w:sz w:val="20"/>
              </w:rPr>
            </w:pPr>
            <w:bookmarkStart w:id="24" w:name="Cell16"/>
            <w:bookmarkEnd w:id="24"/>
            <w:r w:rsidRPr="00483D61">
              <w:rPr>
                <w:i/>
                <w:sz w:val="20"/>
              </w:rPr>
              <w:t>Malaysia</w:t>
            </w:r>
            <w:r w:rsidRPr="00483D61">
              <w:rPr>
                <w:rFonts w:cs="Arial"/>
                <w:bCs/>
                <w:i/>
                <w:sz w:val="20"/>
              </w:rPr>
              <w:t xml:space="preserve"> Competition Commission (</w:t>
            </w:r>
            <w:proofErr w:type="spellStart"/>
            <w:r w:rsidRPr="00483D61">
              <w:rPr>
                <w:rFonts w:cs="Arial"/>
                <w:bCs/>
                <w:i/>
                <w:sz w:val="20"/>
              </w:rPr>
              <w:t>MyCC</w:t>
            </w:r>
            <w:proofErr w:type="spellEnd"/>
            <w:r w:rsidRPr="00483D61">
              <w:rPr>
                <w:rFonts w:cs="Arial"/>
                <w:bCs/>
                <w:i/>
                <w:sz w:val="20"/>
              </w:rPr>
              <w:t>) will undertake various advocacy programmes in 2012 to further enhance the understanding on Competition Act 2010.</w:t>
            </w:r>
          </w:p>
          <w:p w:rsidR="00BC2608" w:rsidRPr="00063155" w:rsidRDefault="00860BC4" w:rsidP="00860BC4">
            <w:pPr>
              <w:pStyle w:val="ListParagraph"/>
              <w:numPr>
                <w:ilvl w:val="0"/>
                <w:numId w:val="8"/>
              </w:numPr>
              <w:ind w:left="432"/>
              <w:jc w:val="both"/>
              <w:rPr>
                <w:i/>
                <w:sz w:val="20"/>
              </w:rPr>
            </w:pPr>
            <w:r w:rsidRPr="00483D61">
              <w:rPr>
                <w:i/>
                <w:sz w:val="20"/>
                <w:lang w:val="en-AU"/>
              </w:rPr>
              <w:t xml:space="preserve">Guidelines will be published to assist stakeholders in understanding the provisions and terminologies in the Act. Public consultations which began in December 2011 for views and comments on the guidelines will continue to be conducted as further guidelines are published. Details of the public consultation of the guidelines will be made available on </w:t>
            </w:r>
            <w:proofErr w:type="spellStart"/>
            <w:r w:rsidRPr="00483D61">
              <w:rPr>
                <w:i/>
                <w:sz w:val="20"/>
                <w:lang w:val="en-AU"/>
              </w:rPr>
              <w:t>MyCC's</w:t>
            </w:r>
            <w:proofErr w:type="spellEnd"/>
            <w:r w:rsidRPr="00483D61">
              <w:rPr>
                <w:i/>
                <w:sz w:val="20"/>
                <w:lang w:val="en-AU"/>
              </w:rPr>
              <w:t xml:space="preserve"> website</w:t>
            </w:r>
            <w:r w:rsidRPr="00860BC4">
              <w:rPr>
                <w:i/>
                <w:color w:val="808080"/>
                <w:sz w:val="20"/>
                <w:lang w:val="en-AU"/>
              </w:rPr>
              <w:t xml:space="preserve"> – </w:t>
            </w:r>
            <w:hyperlink r:id="rId14" w:history="1">
              <w:r w:rsidRPr="00860BC4">
                <w:rPr>
                  <w:rStyle w:val="Hyperlink"/>
                  <w:i/>
                  <w:sz w:val="20"/>
                  <w:lang w:val="en-AU"/>
                </w:rPr>
                <w:t>www.mycc.gov.my</w:t>
              </w:r>
            </w:hyperlink>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BC2608" w:rsidRPr="00063155" w:rsidRDefault="00F64B41" w:rsidP="009E28DA">
            <w:pPr>
              <w:pStyle w:val="Heading9"/>
              <w:rPr>
                <w:rFonts w:ascii="Calibri" w:hAnsi="Calibri"/>
                <w:b w:val="0"/>
              </w:rPr>
            </w:pPr>
            <w:hyperlink r:id="rId15" w:history="1">
              <w:r w:rsidR="00BC2608" w:rsidRPr="00063155">
                <w:rPr>
                  <w:rStyle w:val="Hyperlink"/>
                  <w:rFonts w:ascii="Calibri" w:hAnsi="Calibri"/>
                  <w:b w:val="0"/>
                  <w:color w:val="auto"/>
                </w:rPr>
                <w:t>www.mycc.gov.my</w:t>
              </w:r>
            </w:hyperlink>
            <w:r w:rsidR="00BC2608" w:rsidRPr="00063155">
              <w:rPr>
                <w:rFonts w:ascii="Calibri" w:hAnsi="Calibri"/>
                <w:b w:val="0"/>
              </w:rPr>
              <w:t>, www.kpdnkk.gov.my</w:t>
            </w:r>
          </w:p>
        </w:tc>
        <w:tc>
          <w:tcPr>
            <w:tcW w:w="5670" w:type="dxa"/>
          </w:tcPr>
          <w:p w:rsidR="00BC2608" w:rsidRPr="00063155" w:rsidRDefault="00BC2608" w:rsidP="009E28DA">
            <w:pPr>
              <w:pStyle w:val="Heading9"/>
              <w:rPr>
                <w:rFonts w:ascii="Calibri" w:hAnsi="Calibri"/>
                <w:b w:val="0"/>
              </w:rPr>
            </w:pPr>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BC2608" w:rsidRPr="00063155" w:rsidRDefault="00F64B41" w:rsidP="00860BC4">
            <w:pPr>
              <w:pStyle w:val="Heading9"/>
              <w:rPr>
                <w:rFonts w:ascii="Calibri" w:hAnsi="Calibri"/>
                <w:b w:val="0"/>
              </w:rPr>
            </w:pPr>
            <w:hyperlink r:id="rId16" w:history="1">
              <w:r w:rsidR="00860BC4" w:rsidRPr="00D23E8C">
                <w:rPr>
                  <w:rStyle w:val="Hyperlink"/>
                  <w:rFonts w:ascii="Calibri" w:hAnsi="Calibri"/>
                  <w:b w:val="0"/>
                </w:rPr>
                <w:t>aidiltupari@mycc.gov.my</w:t>
              </w:r>
            </w:hyperlink>
            <w:r w:rsidR="00BC2608" w:rsidRPr="00063155">
              <w:rPr>
                <w:rFonts w:ascii="Calibri" w:hAnsi="Calibri"/>
                <w:b w:val="0"/>
              </w:rPr>
              <w:t>, apecmiti@miti.gov.my</w:t>
            </w:r>
          </w:p>
        </w:tc>
        <w:tc>
          <w:tcPr>
            <w:tcW w:w="5670" w:type="dxa"/>
          </w:tcPr>
          <w:p w:rsidR="00BC2608" w:rsidRPr="00063155" w:rsidRDefault="00BC2608" w:rsidP="009E28DA">
            <w:pPr>
              <w:pStyle w:val="Heading9"/>
              <w:rPr>
                <w:rFonts w:ascii="Calibri" w:hAnsi="Calibri"/>
                <w:b w:val="0"/>
              </w:rPr>
            </w:pPr>
          </w:p>
        </w:tc>
      </w:tr>
      <w:tr w:rsidR="00BC2608">
        <w:tc>
          <w:tcPr>
            <w:tcW w:w="3524" w:type="dxa"/>
          </w:tcPr>
          <w:p w:rsidR="00BC2608" w:rsidRPr="00BF37B1" w:rsidRDefault="00BC2608">
            <w:pPr>
              <w:rPr>
                <w:rFonts w:ascii="Calibri" w:hAnsi="Calibri"/>
                <w:b/>
                <w:i/>
                <w:sz w:val="20"/>
              </w:rPr>
            </w:pPr>
            <w:bookmarkStart w:id="25" w:name="Row9"/>
            <w:r w:rsidRPr="00BF37B1">
              <w:rPr>
                <w:rFonts w:ascii="Calibri" w:hAnsi="Calibri"/>
                <w:b/>
                <w:i/>
                <w:sz w:val="20"/>
              </w:rPr>
              <w:t>Government Procurement</w:t>
            </w:r>
            <w:bookmarkEnd w:id="25"/>
          </w:p>
          <w:p w:rsidR="00BC2608" w:rsidRPr="00BF37B1" w:rsidRDefault="00BC2608">
            <w:pPr>
              <w:rPr>
                <w:rFonts w:ascii="Calibri" w:hAnsi="Calibri"/>
                <w:b/>
                <w:i/>
                <w:sz w:val="20"/>
              </w:rPr>
            </w:pPr>
          </w:p>
        </w:tc>
        <w:tc>
          <w:tcPr>
            <w:tcW w:w="5387" w:type="dxa"/>
          </w:tcPr>
          <w:p w:rsidR="00BC2608" w:rsidRPr="00063155" w:rsidRDefault="00BC2608" w:rsidP="00754887">
            <w:pPr>
              <w:jc w:val="both"/>
              <w:rPr>
                <w:rFonts w:ascii="Calibri" w:hAnsi="Calibri" w:cs="Arial"/>
                <w:i/>
                <w:sz w:val="20"/>
              </w:rPr>
            </w:pPr>
            <w:bookmarkStart w:id="26" w:name="Cell17"/>
            <w:bookmarkEnd w:id="26"/>
            <w:r w:rsidRPr="00063155">
              <w:rPr>
                <w:rFonts w:ascii="Calibri" w:hAnsi="Calibri" w:cs="Arial"/>
                <w:i/>
                <w:sz w:val="20"/>
              </w:rPr>
              <w:t>In year 2009, the threshold value for tender was revised from more than RM200</w:t>
            </w:r>
            <w:proofErr w:type="gramStart"/>
            <w:r w:rsidRPr="00063155">
              <w:rPr>
                <w:rFonts w:ascii="Calibri" w:hAnsi="Calibri" w:cs="Arial"/>
                <w:i/>
                <w:sz w:val="20"/>
              </w:rPr>
              <w:t>,000</w:t>
            </w:r>
            <w:proofErr w:type="gramEnd"/>
            <w:r w:rsidRPr="00063155">
              <w:rPr>
                <w:rFonts w:ascii="Calibri" w:hAnsi="Calibri" w:cs="Arial"/>
                <w:i/>
                <w:sz w:val="20"/>
              </w:rPr>
              <w:t xml:space="preserve"> to more than RM500,00. This is to expedite the procurement process and decision making by the authority.</w:t>
            </w:r>
          </w:p>
          <w:p w:rsidR="00BC2608" w:rsidRPr="00063155" w:rsidRDefault="00BC2608" w:rsidP="00754887">
            <w:pPr>
              <w:jc w:val="both"/>
              <w:rPr>
                <w:rFonts w:ascii="Calibri" w:hAnsi="Calibri" w:cs="Arial"/>
                <w:i/>
                <w:sz w:val="20"/>
              </w:rPr>
            </w:pPr>
          </w:p>
          <w:p w:rsidR="00BC2608" w:rsidRPr="00063155" w:rsidRDefault="00BC2608" w:rsidP="00754887">
            <w:pPr>
              <w:jc w:val="both"/>
              <w:rPr>
                <w:rFonts w:ascii="Calibri" w:hAnsi="Calibri" w:cs="Arial"/>
                <w:b/>
                <w:i/>
                <w:sz w:val="20"/>
                <w:u w:val="single"/>
              </w:rPr>
            </w:pPr>
            <w:r w:rsidRPr="00063155">
              <w:rPr>
                <w:rFonts w:ascii="Calibri" w:hAnsi="Calibri" w:cs="Arial"/>
                <w:b/>
                <w:i/>
                <w:sz w:val="20"/>
                <w:u w:val="single"/>
              </w:rPr>
              <w:t xml:space="preserve">Electronic Procurement </w:t>
            </w:r>
          </w:p>
          <w:p w:rsidR="00BC2608" w:rsidRPr="00063155" w:rsidRDefault="00BC2608" w:rsidP="00754887">
            <w:pPr>
              <w:jc w:val="both"/>
              <w:rPr>
                <w:rFonts w:ascii="Calibri" w:hAnsi="Calibri" w:cs="Arial"/>
                <w:i/>
                <w:sz w:val="20"/>
              </w:rPr>
            </w:pPr>
          </w:p>
          <w:p w:rsidR="00BC2608" w:rsidRPr="00063155" w:rsidRDefault="00BC2608" w:rsidP="00754887">
            <w:pPr>
              <w:jc w:val="both"/>
              <w:rPr>
                <w:rFonts w:ascii="Calibri" w:hAnsi="Calibri" w:cs="Arial"/>
                <w:i/>
                <w:sz w:val="20"/>
              </w:rPr>
            </w:pPr>
            <w:r w:rsidRPr="00063155">
              <w:rPr>
                <w:rFonts w:ascii="Calibri" w:hAnsi="Calibri" w:cs="Arial"/>
                <w:i/>
                <w:sz w:val="20"/>
              </w:rPr>
              <w:t xml:space="preserve">To date, there are 2,613 Cost Responsibility Centres (CRCs) of Government Agencies and 75,162 suppliers which are </w:t>
            </w:r>
            <w:proofErr w:type="spellStart"/>
            <w:r w:rsidRPr="00063155">
              <w:rPr>
                <w:rFonts w:ascii="Calibri" w:hAnsi="Calibri" w:cs="Arial"/>
                <w:i/>
                <w:sz w:val="20"/>
              </w:rPr>
              <w:t>eProcurement</w:t>
            </w:r>
            <w:proofErr w:type="spellEnd"/>
            <w:r w:rsidRPr="00063155">
              <w:rPr>
                <w:rFonts w:ascii="Calibri" w:hAnsi="Calibri" w:cs="Arial"/>
                <w:i/>
                <w:sz w:val="20"/>
              </w:rPr>
              <w:t xml:space="preserve"> (</w:t>
            </w:r>
            <w:proofErr w:type="spellStart"/>
            <w:r w:rsidRPr="00063155">
              <w:rPr>
                <w:rFonts w:ascii="Calibri" w:hAnsi="Calibri" w:cs="Arial"/>
                <w:i/>
                <w:sz w:val="20"/>
              </w:rPr>
              <w:t>eP</w:t>
            </w:r>
            <w:proofErr w:type="spellEnd"/>
            <w:r w:rsidRPr="00063155">
              <w:rPr>
                <w:rFonts w:ascii="Calibri" w:hAnsi="Calibri" w:cs="Arial"/>
                <w:i/>
                <w:sz w:val="20"/>
              </w:rPr>
              <w:t xml:space="preserve">) enabled i.e. participate in GP through the </w:t>
            </w:r>
            <w:proofErr w:type="spellStart"/>
            <w:r w:rsidRPr="00063155">
              <w:rPr>
                <w:rFonts w:ascii="Calibri" w:hAnsi="Calibri" w:cs="Arial"/>
                <w:i/>
                <w:sz w:val="20"/>
              </w:rPr>
              <w:t>eP</w:t>
            </w:r>
            <w:proofErr w:type="spellEnd"/>
            <w:r w:rsidRPr="00063155">
              <w:rPr>
                <w:rFonts w:ascii="Calibri" w:hAnsi="Calibri" w:cs="Arial"/>
                <w:i/>
                <w:sz w:val="20"/>
              </w:rPr>
              <w:t xml:space="preserve"> system. </w:t>
            </w:r>
          </w:p>
          <w:p w:rsidR="00BC2608" w:rsidRPr="00063155" w:rsidRDefault="00BC2608" w:rsidP="00754887">
            <w:pPr>
              <w:jc w:val="both"/>
              <w:rPr>
                <w:rFonts w:ascii="Calibri" w:hAnsi="Calibri" w:cs="Arial"/>
                <w:i/>
                <w:sz w:val="20"/>
              </w:rPr>
            </w:pPr>
          </w:p>
          <w:p w:rsidR="00BC2608" w:rsidRPr="00063155" w:rsidRDefault="00BC2608" w:rsidP="00754887">
            <w:pPr>
              <w:jc w:val="both"/>
              <w:rPr>
                <w:rFonts w:ascii="Calibri" w:hAnsi="Calibri" w:cs="Arial"/>
                <w:i/>
                <w:sz w:val="20"/>
              </w:rPr>
            </w:pPr>
            <w:r w:rsidRPr="00063155">
              <w:rPr>
                <w:rFonts w:ascii="Calibri" w:hAnsi="Calibri" w:cs="Arial"/>
                <w:i/>
                <w:sz w:val="20"/>
              </w:rPr>
              <w:t xml:space="preserve">Treasury Instruction Letter dated 7 April 2009 stipulated all </w:t>
            </w:r>
            <w:proofErr w:type="spellStart"/>
            <w:r w:rsidRPr="00063155">
              <w:rPr>
                <w:rFonts w:ascii="Calibri" w:hAnsi="Calibri" w:cs="Arial"/>
                <w:i/>
                <w:sz w:val="20"/>
              </w:rPr>
              <w:t>eP</w:t>
            </w:r>
            <w:proofErr w:type="spellEnd"/>
            <w:r w:rsidRPr="00063155">
              <w:rPr>
                <w:rFonts w:ascii="Calibri" w:hAnsi="Calibri" w:cs="Arial"/>
                <w:i/>
                <w:sz w:val="20"/>
              </w:rPr>
              <w:t xml:space="preserve"> enabled CRCs are required to ensure that at least 70% of annual allocation for procurement of supplies and services are done online through the </w:t>
            </w:r>
            <w:proofErr w:type="spellStart"/>
            <w:r w:rsidRPr="00063155">
              <w:rPr>
                <w:rFonts w:ascii="Calibri" w:hAnsi="Calibri" w:cs="Arial"/>
                <w:i/>
                <w:sz w:val="20"/>
              </w:rPr>
              <w:t>eP</w:t>
            </w:r>
            <w:proofErr w:type="spellEnd"/>
            <w:r w:rsidRPr="00063155">
              <w:rPr>
                <w:rFonts w:ascii="Calibri" w:hAnsi="Calibri" w:cs="Arial"/>
                <w:i/>
                <w:sz w:val="20"/>
              </w:rPr>
              <w:t xml:space="preserve"> system. </w:t>
            </w:r>
          </w:p>
          <w:p w:rsidR="00BC2608" w:rsidRPr="00063155" w:rsidRDefault="00BC2608" w:rsidP="00754887">
            <w:pPr>
              <w:jc w:val="both"/>
              <w:rPr>
                <w:rFonts w:ascii="Calibri" w:hAnsi="Calibri" w:cs="Arial"/>
                <w:i/>
                <w:sz w:val="20"/>
              </w:rPr>
            </w:pPr>
          </w:p>
          <w:p w:rsidR="00BC2608" w:rsidRPr="00063155" w:rsidRDefault="00BC2608" w:rsidP="00754887">
            <w:pPr>
              <w:jc w:val="both"/>
              <w:rPr>
                <w:rFonts w:ascii="Calibri" w:hAnsi="Calibri" w:cs="Arial"/>
                <w:i/>
                <w:sz w:val="20"/>
              </w:rPr>
            </w:pPr>
            <w:r w:rsidRPr="00063155">
              <w:rPr>
                <w:rFonts w:ascii="Calibri" w:hAnsi="Calibri" w:cs="Arial"/>
                <w:i/>
                <w:sz w:val="20"/>
              </w:rPr>
              <w:t>Electronic bidding (</w:t>
            </w:r>
            <w:proofErr w:type="spellStart"/>
            <w:r w:rsidRPr="00063155">
              <w:rPr>
                <w:rFonts w:ascii="Calibri" w:hAnsi="Calibri" w:cs="Arial"/>
                <w:i/>
                <w:sz w:val="20"/>
              </w:rPr>
              <w:t>eBidding</w:t>
            </w:r>
            <w:proofErr w:type="spellEnd"/>
            <w:r w:rsidRPr="00063155">
              <w:rPr>
                <w:rFonts w:ascii="Calibri" w:hAnsi="Calibri" w:cs="Arial"/>
                <w:i/>
                <w:sz w:val="20"/>
              </w:rPr>
              <w:t>) through reverse auction has also been introduced since 2008 to provide for more open and competitive bidding and to achieve savings for the Government.</w:t>
            </w:r>
          </w:p>
          <w:p w:rsidR="00BC2608" w:rsidRPr="00063155" w:rsidRDefault="00BC2608" w:rsidP="00754887">
            <w:pPr>
              <w:jc w:val="both"/>
              <w:rPr>
                <w:rFonts w:ascii="Calibri" w:hAnsi="Calibri" w:cs="Arial"/>
                <w:i/>
                <w:sz w:val="20"/>
              </w:rPr>
            </w:pPr>
          </w:p>
          <w:p w:rsidR="00BC2608" w:rsidRPr="00063155" w:rsidRDefault="00BC2608" w:rsidP="00754887">
            <w:pPr>
              <w:jc w:val="both"/>
              <w:rPr>
                <w:rFonts w:ascii="Calibri" w:hAnsi="Calibri" w:cs="Arial"/>
                <w:i/>
                <w:sz w:val="20"/>
              </w:rPr>
            </w:pPr>
            <w:r w:rsidRPr="00063155">
              <w:rPr>
                <w:rFonts w:ascii="Calibri" w:hAnsi="Calibri" w:cs="Arial"/>
                <w:i/>
                <w:sz w:val="20"/>
              </w:rPr>
              <w:t xml:space="preserve">In April 2010, </w:t>
            </w:r>
            <w:proofErr w:type="spellStart"/>
            <w:r w:rsidRPr="00063155">
              <w:rPr>
                <w:rFonts w:ascii="Calibri" w:hAnsi="Calibri" w:cs="Arial"/>
                <w:i/>
                <w:sz w:val="20"/>
              </w:rPr>
              <w:t>MyPROCUREMENT</w:t>
            </w:r>
            <w:proofErr w:type="spellEnd"/>
            <w:r w:rsidRPr="00063155">
              <w:rPr>
                <w:rFonts w:ascii="Calibri" w:hAnsi="Calibri" w:cs="Arial"/>
                <w:i/>
                <w:sz w:val="20"/>
              </w:rPr>
              <w:t xml:space="preserve"> Portal was launched whereby agencies are required to publish tender invitations and award decisions for public access.</w:t>
            </w:r>
          </w:p>
          <w:p w:rsidR="00BC2608" w:rsidRPr="00063155" w:rsidRDefault="00BC2608">
            <w:pPr>
              <w:rPr>
                <w:rFonts w:ascii="Calibri" w:hAnsi="Calibri"/>
                <w:i/>
                <w:sz w:val="20"/>
              </w:rPr>
            </w:pPr>
          </w:p>
        </w:tc>
        <w:tc>
          <w:tcPr>
            <w:tcW w:w="5670" w:type="dxa"/>
          </w:tcPr>
          <w:p w:rsidR="00BC2608" w:rsidRPr="00063155" w:rsidRDefault="00BC2608">
            <w:pPr>
              <w:rPr>
                <w:rFonts w:ascii="Calibri" w:hAnsi="Calibri" w:cs="Arial"/>
                <w:i/>
                <w:sz w:val="20"/>
              </w:rPr>
            </w:pPr>
            <w:bookmarkStart w:id="27" w:name="Cell18"/>
            <w:bookmarkEnd w:id="27"/>
          </w:p>
          <w:p w:rsidR="00BC2608" w:rsidRPr="00063155" w:rsidRDefault="00BC2608">
            <w:pPr>
              <w:rPr>
                <w:rFonts w:ascii="Calibri" w:hAnsi="Calibri" w:cs="Arial"/>
                <w:i/>
                <w:sz w:val="20"/>
              </w:rPr>
            </w:pPr>
          </w:p>
          <w:p w:rsidR="00BC2608" w:rsidRPr="00063155" w:rsidRDefault="00BC2608">
            <w:pPr>
              <w:rPr>
                <w:rFonts w:ascii="Calibri" w:hAnsi="Calibri" w:cs="Arial"/>
                <w:i/>
                <w:sz w:val="20"/>
              </w:rPr>
            </w:pPr>
          </w:p>
          <w:p w:rsidR="00BC2608" w:rsidRPr="00063155" w:rsidRDefault="00BC2608">
            <w:pPr>
              <w:rPr>
                <w:rFonts w:ascii="Calibri" w:hAnsi="Calibri" w:cs="Arial"/>
                <w:i/>
                <w:sz w:val="20"/>
              </w:rPr>
            </w:pPr>
          </w:p>
          <w:p w:rsidR="00BC2608" w:rsidRPr="00063155" w:rsidRDefault="00BC2608">
            <w:pPr>
              <w:rPr>
                <w:rFonts w:ascii="Calibri" w:hAnsi="Calibri" w:cs="Arial"/>
                <w:i/>
                <w:sz w:val="20"/>
              </w:rPr>
            </w:pPr>
          </w:p>
          <w:p w:rsidR="00BC2608" w:rsidRPr="00063155" w:rsidRDefault="00BC2608">
            <w:pPr>
              <w:rPr>
                <w:rFonts w:ascii="Calibri" w:hAnsi="Calibri" w:cs="Arial"/>
                <w:i/>
                <w:sz w:val="20"/>
              </w:rPr>
            </w:pPr>
          </w:p>
          <w:p w:rsidR="00BC2608" w:rsidRPr="00063155" w:rsidRDefault="00BC2608">
            <w:pPr>
              <w:rPr>
                <w:rFonts w:ascii="Calibri" w:hAnsi="Calibri" w:cs="Arial"/>
                <w:i/>
                <w:sz w:val="20"/>
              </w:rPr>
            </w:pPr>
          </w:p>
          <w:p w:rsidR="00BC2608" w:rsidRPr="00063155" w:rsidRDefault="00BC2608" w:rsidP="00754887">
            <w:pPr>
              <w:jc w:val="both"/>
              <w:rPr>
                <w:rFonts w:ascii="Calibri" w:hAnsi="Calibri"/>
                <w:i/>
                <w:sz w:val="20"/>
              </w:rPr>
            </w:pPr>
            <w:r w:rsidRPr="00063155">
              <w:rPr>
                <w:rFonts w:ascii="Calibri" w:hAnsi="Calibri"/>
                <w:i/>
                <w:sz w:val="20"/>
              </w:rPr>
              <w:t xml:space="preserve">All agencies will have to carry out procurement exercises through the </w:t>
            </w:r>
            <w:proofErr w:type="spellStart"/>
            <w:r w:rsidRPr="00063155">
              <w:rPr>
                <w:rFonts w:ascii="Calibri" w:hAnsi="Calibri"/>
                <w:i/>
                <w:sz w:val="20"/>
              </w:rPr>
              <w:t>eP</w:t>
            </w:r>
            <w:proofErr w:type="spellEnd"/>
            <w:r w:rsidRPr="00063155">
              <w:rPr>
                <w:rFonts w:ascii="Calibri" w:hAnsi="Calibri"/>
                <w:i/>
                <w:sz w:val="20"/>
              </w:rPr>
              <w:t xml:space="preserve"> system in the future in order to obtain optimum benefit from greater participation of bidders.</w:t>
            </w:r>
          </w:p>
          <w:p w:rsidR="00BC2608" w:rsidRPr="00063155" w:rsidRDefault="00BC2608" w:rsidP="00754887">
            <w:pPr>
              <w:jc w:val="both"/>
              <w:rPr>
                <w:rFonts w:ascii="Calibri" w:hAnsi="Calibri"/>
                <w:i/>
                <w:sz w:val="20"/>
              </w:rPr>
            </w:pPr>
          </w:p>
          <w:p w:rsidR="00BC2608" w:rsidRPr="00063155" w:rsidRDefault="00BC2608" w:rsidP="00754887">
            <w:pPr>
              <w:rPr>
                <w:rFonts w:ascii="Calibri" w:hAnsi="Calibri"/>
                <w:i/>
                <w:sz w:val="20"/>
              </w:rPr>
            </w:pPr>
            <w:r w:rsidRPr="00063155">
              <w:rPr>
                <w:rFonts w:ascii="Calibri" w:hAnsi="Calibri"/>
                <w:i/>
                <w:sz w:val="20"/>
              </w:rPr>
              <w:t xml:space="preserve">Awareness programs and campaigns to educate agencies and suppliers to come on board the </w:t>
            </w:r>
            <w:proofErr w:type="spellStart"/>
            <w:r w:rsidRPr="00063155">
              <w:rPr>
                <w:rFonts w:ascii="Calibri" w:hAnsi="Calibri"/>
                <w:i/>
                <w:sz w:val="20"/>
              </w:rPr>
              <w:t>eP</w:t>
            </w:r>
            <w:proofErr w:type="spellEnd"/>
            <w:r w:rsidRPr="00063155">
              <w:rPr>
                <w:rFonts w:ascii="Calibri" w:hAnsi="Calibri"/>
                <w:i/>
                <w:sz w:val="20"/>
              </w:rPr>
              <w:t xml:space="preserve"> system will be intensified. Agencies will attain best value for money as more suppliers use the </w:t>
            </w:r>
            <w:proofErr w:type="spellStart"/>
            <w:r w:rsidRPr="00063155">
              <w:rPr>
                <w:rFonts w:ascii="Calibri" w:hAnsi="Calibri"/>
                <w:i/>
                <w:sz w:val="20"/>
              </w:rPr>
              <w:t>eP</w:t>
            </w:r>
            <w:proofErr w:type="spellEnd"/>
            <w:r w:rsidRPr="00063155">
              <w:rPr>
                <w:rFonts w:ascii="Calibri" w:hAnsi="Calibri"/>
                <w:i/>
                <w:sz w:val="20"/>
              </w:rPr>
              <w:t xml:space="preserve"> system.</w:t>
            </w:r>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BC2608" w:rsidRPr="00063155" w:rsidRDefault="00BC2608" w:rsidP="009E28DA">
            <w:pPr>
              <w:pStyle w:val="Heading9"/>
              <w:rPr>
                <w:rFonts w:ascii="Calibri" w:hAnsi="Calibri"/>
                <w:b w:val="0"/>
              </w:rPr>
            </w:pPr>
            <w:r w:rsidRPr="00063155">
              <w:rPr>
                <w:rFonts w:ascii="Calibri" w:hAnsi="Calibri"/>
                <w:b w:val="0"/>
              </w:rPr>
              <w:t>www.eperolehan.gov.my</w:t>
            </w:r>
          </w:p>
        </w:tc>
        <w:tc>
          <w:tcPr>
            <w:tcW w:w="5670" w:type="dxa"/>
          </w:tcPr>
          <w:p w:rsidR="00BC2608" w:rsidRPr="00063155" w:rsidRDefault="00BC2608" w:rsidP="009E28DA">
            <w:pPr>
              <w:pStyle w:val="Heading9"/>
              <w:rPr>
                <w:rFonts w:ascii="Calibri" w:hAnsi="Calibri"/>
                <w:b w:val="0"/>
              </w:rPr>
            </w:pPr>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BC2608" w:rsidRPr="00063155" w:rsidRDefault="00F64B41" w:rsidP="009E28DA">
            <w:pPr>
              <w:pStyle w:val="Heading9"/>
              <w:rPr>
                <w:rFonts w:ascii="Calibri" w:hAnsi="Calibri"/>
                <w:b w:val="0"/>
              </w:rPr>
            </w:pPr>
            <w:hyperlink r:id="rId17" w:history="1">
              <w:r w:rsidR="00860BC4" w:rsidRPr="00D23E8C">
                <w:rPr>
                  <w:rStyle w:val="Hyperlink"/>
                  <w:rFonts w:ascii="Calibri" w:hAnsi="Calibri"/>
                  <w:b w:val="0"/>
                </w:rPr>
                <w:t>fauziah.yaacob@treasury.gov.my</w:t>
              </w:r>
            </w:hyperlink>
            <w:r w:rsidR="00860BC4">
              <w:rPr>
                <w:rFonts w:ascii="Calibri" w:hAnsi="Calibri"/>
                <w:b w:val="0"/>
                <w:color w:val="808080"/>
              </w:rPr>
              <w:t xml:space="preserve">, </w:t>
            </w:r>
            <w:hyperlink r:id="rId18" w:history="1">
              <w:r w:rsidR="00860BC4" w:rsidRPr="00D23E8C">
                <w:rPr>
                  <w:rStyle w:val="Hyperlink"/>
                  <w:rFonts w:ascii="Calibri" w:hAnsi="Calibri"/>
                  <w:b w:val="0"/>
                </w:rPr>
                <w:t>azah.ahmad@treasury.gov.my</w:t>
              </w:r>
            </w:hyperlink>
            <w:r w:rsidR="00860BC4">
              <w:rPr>
                <w:rFonts w:ascii="Calibri" w:hAnsi="Calibri"/>
                <w:b w:val="0"/>
                <w:color w:val="808080"/>
              </w:rPr>
              <w:t xml:space="preserve">, </w:t>
            </w:r>
            <w:hyperlink r:id="rId19" w:history="1">
              <w:r w:rsidR="00860BC4" w:rsidRPr="00D23E8C">
                <w:rPr>
                  <w:rStyle w:val="Hyperlink"/>
                  <w:rFonts w:ascii="Calibri" w:hAnsi="Calibri"/>
                  <w:b w:val="0"/>
                </w:rPr>
                <w:t>afifah.sahib@treasury.gov.my</w:t>
              </w:r>
            </w:hyperlink>
            <w:r w:rsidR="00860BC4">
              <w:rPr>
                <w:rFonts w:ascii="Calibri" w:hAnsi="Calibri"/>
                <w:b w:val="0"/>
                <w:color w:val="808080"/>
              </w:rPr>
              <w:t>, saedah.kamaruddin@treasury.gov.my</w:t>
            </w:r>
          </w:p>
        </w:tc>
        <w:tc>
          <w:tcPr>
            <w:tcW w:w="5670" w:type="dxa"/>
          </w:tcPr>
          <w:p w:rsidR="00BC2608" w:rsidRPr="00063155" w:rsidRDefault="00BC2608" w:rsidP="009E28DA">
            <w:pPr>
              <w:pStyle w:val="Heading9"/>
              <w:rPr>
                <w:rFonts w:ascii="Calibri" w:hAnsi="Calibri"/>
                <w:b w:val="0"/>
              </w:rPr>
            </w:pPr>
          </w:p>
        </w:tc>
      </w:tr>
      <w:tr w:rsidR="00BC2608">
        <w:tc>
          <w:tcPr>
            <w:tcW w:w="3524" w:type="dxa"/>
          </w:tcPr>
          <w:p w:rsidR="00BC2608" w:rsidRPr="00BF37B1" w:rsidRDefault="00BC2608">
            <w:pPr>
              <w:rPr>
                <w:rFonts w:ascii="Calibri" w:hAnsi="Calibri"/>
                <w:b/>
                <w:i/>
                <w:sz w:val="20"/>
              </w:rPr>
            </w:pPr>
            <w:bookmarkStart w:id="28" w:name="Row10"/>
            <w:r w:rsidRPr="00BF37B1">
              <w:rPr>
                <w:rFonts w:ascii="Calibri" w:hAnsi="Calibri"/>
                <w:b/>
                <w:i/>
                <w:sz w:val="20"/>
              </w:rPr>
              <w:t>Deregulation/Regulatory Review</w:t>
            </w:r>
            <w:bookmarkEnd w:id="28"/>
          </w:p>
          <w:p w:rsidR="00BC2608" w:rsidRPr="00BF37B1" w:rsidRDefault="00BC2608">
            <w:pPr>
              <w:rPr>
                <w:rFonts w:ascii="Calibri" w:hAnsi="Calibri"/>
                <w:b/>
                <w:i/>
                <w:sz w:val="20"/>
              </w:rPr>
            </w:pPr>
          </w:p>
        </w:tc>
        <w:tc>
          <w:tcPr>
            <w:tcW w:w="5387" w:type="dxa"/>
          </w:tcPr>
          <w:p w:rsidR="00BC2608" w:rsidRPr="00063155" w:rsidRDefault="00BC2608" w:rsidP="002C7864">
            <w:pPr>
              <w:rPr>
                <w:rFonts w:ascii="Calibri" w:hAnsi="Calibri" w:cs="Arial"/>
                <w:i/>
                <w:sz w:val="20"/>
              </w:rPr>
            </w:pPr>
            <w:bookmarkStart w:id="29" w:name="Cell19"/>
            <w:bookmarkEnd w:id="29"/>
            <w:r w:rsidRPr="00063155">
              <w:rPr>
                <w:rFonts w:ascii="Calibri" w:hAnsi="Calibri" w:cs="Arial"/>
                <w:i/>
                <w:sz w:val="20"/>
              </w:rPr>
              <w:t>Malaysia is committed in promoting a transparent, sound and fair regulatory environment and to remove market distortions, encourage healthy competition, and reduce the cost of doing business by undertaking regulatory review in the following areas;</w:t>
            </w:r>
          </w:p>
          <w:p w:rsidR="00BC2608" w:rsidRPr="00063155" w:rsidRDefault="00BC2608" w:rsidP="002C7864">
            <w:pPr>
              <w:numPr>
                <w:ilvl w:val="0"/>
                <w:numId w:val="16"/>
              </w:numPr>
              <w:tabs>
                <w:tab w:val="clear" w:pos="765"/>
                <w:tab w:val="num" w:pos="432"/>
              </w:tabs>
              <w:ind w:left="432"/>
              <w:rPr>
                <w:rFonts w:ascii="Calibri" w:hAnsi="Calibri" w:cs="Arial"/>
                <w:i/>
                <w:sz w:val="20"/>
              </w:rPr>
            </w:pPr>
            <w:r w:rsidRPr="00063155">
              <w:rPr>
                <w:rFonts w:ascii="Calibri" w:hAnsi="Calibri" w:cs="Arial"/>
                <w:i/>
                <w:sz w:val="20"/>
              </w:rPr>
              <w:t>Public sector delivery and procurements</w:t>
            </w:r>
          </w:p>
          <w:p w:rsidR="00BC2608" w:rsidRPr="00063155" w:rsidRDefault="00BC2608" w:rsidP="002C7864">
            <w:pPr>
              <w:numPr>
                <w:ilvl w:val="0"/>
                <w:numId w:val="16"/>
              </w:numPr>
              <w:tabs>
                <w:tab w:val="clear" w:pos="765"/>
                <w:tab w:val="num" w:pos="432"/>
              </w:tabs>
              <w:ind w:left="432"/>
              <w:rPr>
                <w:rFonts w:ascii="Calibri" w:hAnsi="Calibri" w:cs="Arial"/>
                <w:i/>
                <w:sz w:val="20"/>
              </w:rPr>
            </w:pPr>
            <w:r w:rsidRPr="00063155">
              <w:rPr>
                <w:rFonts w:ascii="Calibri" w:hAnsi="Calibri" w:cs="Arial"/>
                <w:i/>
                <w:sz w:val="20"/>
              </w:rPr>
              <w:t>Established Electronic Government for on-line transaction with government agencies</w:t>
            </w:r>
          </w:p>
          <w:p w:rsidR="00BC2608" w:rsidRPr="00063155" w:rsidRDefault="00BC2608" w:rsidP="002C7864">
            <w:pPr>
              <w:numPr>
                <w:ilvl w:val="0"/>
                <w:numId w:val="16"/>
              </w:numPr>
              <w:tabs>
                <w:tab w:val="clear" w:pos="765"/>
                <w:tab w:val="num" w:pos="432"/>
              </w:tabs>
              <w:ind w:left="432"/>
              <w:rPr>
                <w:rFonts w:ascii="Calibri" w:hAnsi="Calibri" w:cs="Arial"/>
                <w:i/>
                <w:sz w:val="20"/>
              </w:rPr>
            </w:pPr>
            <w:r w:rsidRPr="00063155">
              <w:rPr>
                <w:rFonts w:ascii="Calibri" w:hAnsi="Calibri" w:cs="Arial"/>
                <w:i/>
                <w:sz w:val="20"/>
              </w:rPr>
              <w:t>Local Authority approval of licenses and permits through One-Stop Centre (OSC)</w:t>
            </w:r>
          </w:p>
          <w:p w:rsidR="00BC2608" w:rsidRPr="00063155" w:rsidRDefault="00BC2608" w:rsidP="002C7864">
            <w:pPr>
              <w:numPr>
                <w:ilvl w:val="0"/>
                <w:numId w:val="16"/>
              </w:numPr>
              <w:tabs>
                <w:tab w:val="clear" w:pos="765"/>
                <w:tab w:val="num" w:pos="432"/>
              </w:tabs>
              <w:ind w:left="432"/>
              <w:rPr>
                <w:rFonts w:ascii="Calibri" w:hAnsi="Calibri" w:cs="Arial"/>
                <w:i/>
                <w:sz w:val="20"/>
              </w:rPr>
            </w:pPr>
            <w:r w:rsidRPr="00063155">
              <w:rPr>
                <w:rFonts w:ascii="Calibri" w:hAnsi="Calibri" w:cs="Arial"/>
                <w:i/>
                <w:sz w:val="20"/>
              </w:rPr>
              <w:t xml:space="preserve">Reducing red tapes in business licensing    </w:t>
            </w:r>
          </w:p>
          <w:p w:rsidR="00BC2608" w:rsidRPr="00063155" w:rsidRDefault="00BC2608" w:rsidP="002C7864">
            <w:pPr>
              <w:numPr>
                <w:ilvl w:val="0"/>
                <w:numId w:val="16"/>
              </w:numPr>
              <w:tabs>
                <w:tab w:val="clear" w:pos="765"/>
                <w:tab w:val="num" w:pos="432"/>
              </w:tabs>
              <w:ind w:left="432"/>
              <w:rPr>
                <w:rFonts w:ascii="Calibri" w:hAnsi="Calibri" w:cs="Arial"/>
                <w:i/>
                <w:sz w:val="20"/>
              </w:rPr>
            </w:pPr>
            <w:r w:rsidRPr="00063155">
              <w:rPr>
                <w:rFonts w:ascii="Calibri" w:hAnsi="Calibri" w:cs="Arial"/>
                <w:i/>
                <w:sz w:val="20"/>
              </w:rPr>
              <w:t xml:space="preserve">Streamlining government formalities and procedures </w:t>
            </w:r>
          </w:p>
          <w:p w:rsidR="00BC2608" w:rsidRPr="00063155" w:rsidRDefault="00BC2608" w:rsidP="00EB5FFA">
            <w:pPr>
              <w:ind w:left="432"/>
              <w:rPr>
                <w:rFonts w:ascii="Calibri" w:hAnsi="Calibri" w:cs="Arial"/>
                <w:i/>
                <w:sz w:val="20"/>
              </w:rPr>
            </w:pPr>
            <w:r w:rsidRPr="00063155">
              <w:rPr>
                <w:rFonts w:ascii="Calibri" w:hAnsi="Calibri" w:cs="Arial"/>
                <w:i/>
                <w:sz w:val="20"/>
              </w:rPr>
              <w:t>pertaining  to ease of doing business (through the special Taskforce to Facilitate Business or PEMUDAH)</w:t>
            </w:r>
          </w:p>
          <w:p w:rsidR="00BC2608" w:rsidRPr="00063155" w:rsidRDefault="00BC2608" w:rsidP="002C7864">
            <w:pPr>
              <w:numPr>
                <w:ilvl w:val="0"/>
                <w:numId w:val="16"/>
              </w:numPr>
              <w:tabs>
                <w:tab w:val="clear" w:pos="765"/>
                <w:tab w:val="num" w:pos="432"/>
              </w:tabs>
              <w:ind w:left="432"/>
              <w:rPr>
                <w:rFonts w:ascii="Calibri" w:hAnsi="Calibri" w:cs="Arial"/>
                <w:i/>
                <w:sz w:val="20"/>
              </w:rPr>
            </w:pPr>
            <w:r w:rsidRPr="00063155">
              <w:rPr>
                <w:rFonts w:ascii="Calibri" w:hAnsi="Calibri" w:cs="Arial"/>
                <w:i/>
                <w:sz w:val="20"/>
              </w:rPr>
              <w:t>Structural reforms in construction sector, hotel industry, and capital markets</w:t>
            </w:r>
          </w:p>
          <w:p w:rsidR="00BC2608" w:rsidRPr="00063155" w:rsidRDefault="00BC2608" w:rsidP="002C7864">
            <w:pPr>
              <w:numPr>
                <w:ilvl w:val="0"/>
                <w:numId w:val="16"/>
              </w:numPr>
              <w:tabs>
                <w:tab w:val="clear" w:pos="765"/>
                <w:tab w:val="num" w:pos="432"/>
              </w:tabs>
              <w:ind w:left="432"/>
              <w:rPr>
                <w:rFonts w:ascii="Calibri" w:hAnsi="Calibri" w:cs="Arial"/>
                <w:i/>
                <w:sz w:val="20"/>
              </w:rPr>
            </w:pPr>
            <w:r w:rsidRPr="00063155">
              <w:rPr>
                <w:rFonts w:ascii="Calibri" w:hAnsi="Calibri" w:cs="Arial"/>
                <w:i/>
                <w:sz w:val="20"/>
              </w:rPr>
              <w:t>Rationalise public sector role in public healthcare, electricity supply, and telecommunications</w:t>
            </w: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20"/>
              </w:rPr>
            </w:pPr>
          </w:p>
          <w:p w:rsidR="00BC2608" w:rsidRPr="00063155" w:rsidRDefault="00BC2608">
            <w:pPr>
              <w:rPr>
                <w:rFonts w:ascii="Calibri" w:hAnsi="Calibri"/>
                <w:i/>
                <w:sz w:val="6"/>
              </w:rPr>
            </w:pPr>
          </w:p>
          <w:p w:rsidR="00BC2608" w:rsidRPr="00063155" w:rsidRDefault="00BC2608" w:rsidP="002C7864">
            <w:pPr>
              <w:rPr>
                <w:rFonts w:ascii="Calibri" w:hAnsi="Calibri"/>
                <w:i/>
                <w:sz w:val="20"/>
                <w:u w:val="single"/>
              </w:rPr>
            </w:pPr>
            <w:r w:rsidRPr="00063155">
              <w:rPr>
                <w:rFonts w:ascii="Calibri" w:hAnsi="Calibri"/>
                <w:i/>
                <w:sz w:val="20"/>
                <w:u w:val="single"/>
              </w:rPr>
              <w:t>Business Process Re-Engineering In Business Licensing</w:t>
            </w:r>
          </w:p>
          <w:p w:rsidR="00BC2608" w:rsidRPr="00063155" w:rsidRDefault="00BC2608" w:rsidP="002C7864">
            <w:pPr>
              <w:numPr>
                <w:ilvl w:val="0"/>
                <w:numId w:val="16"/>
              </w:numPr>
              <w:tabs>
                <w:tab w:val="clear" w:pos="765"/>
                <w:tab w:val="num" w:pos="432"/>
              </w:tabs>
              <w:ind w:left="432"/>
              <w:rPr>
                <w:rFonts w:ascii="Calibri" w:hAnsi="Calibri"/>
                <w:i/>
                <w:sz w:val="20"/>
                <w:lang w:val="en-US"/>
              </w:rPr>
            </w:pPr>
            <w:r w:rsidRPr="00063155">
              <w:rPr>
                <w:rFonts w:ascii="Calibri" w:hAnsi="Calibri"/>
                <w:i/>
                <w:sz w:val="20"/>
                <w:lang w:val="en-US"/>
              </w:rPr>
              <w:t>The Task Force to Facilitate Business or its acronym PEMUDAH has embarked on “</w:t>
            </w:r>
            <w:proofErr w:type="spellStart"/>
            <w:r w:rsidRPr="00063155">
              <w:rPr>
                <w:rFonts w:ascii="Calibri" w:hAnsi="Calibri"/>
                <w:i/>
                <w:sz w:val="20"/>
                <w:lang w:val="en-US"/>
              </w:rPr>
              <w:t>Modernising</w:t>
            </w:r>
            <w:proofErr w:type="spellEnd"/>
            <w:r w:rsidRPr="00063155">
              <w:rPr>
                <w:rFonts w:ascii="Calibri" w:hAnsi="Calibri"/>
                <w:i/>
                <w:sz w:val="20"/>
                <w:lang w:val="en-US"/>
              </w:rPr>
              <w:t xml:space="preserve"> Business Licensing” (MBL) by reviewing all procedures related to the application of business-related licenses at 23 ministries and agencies. This is to create a more conducive and competitive business environment in Malaysia. This </w:t>
            </w:r>
            <w:proofErr w:type="spellStart"/>
            <w:r w:rsidRPr="00063155">
              <w:rPr>
                <w:rFonts w:ascii="Calibri" w:hAnsi="Calibri"/>
                <w:i/>
                <w:sz w:val="20"/>
                <w:lang w:val="en-US"/>
              </w:rPr>
              <w:t>initative</w:t>
            </w:r>
            <w:proofErr w:type="spellEnd"/>
            <w:r w:rsidRPr="00063155">
              <w:rPr>
                <w:rFonts w:ascii="Calibri" w:hAnsi="Calibri"/>
                <w:i/>
                <w:sz w:val="20"/>
                <w:lang w:val="en-US"/>
              </w:rPr>
              <w:t xml:space="preserve"> aimed to eliminate redundant and hampering licensing processes based on their legality, necessity and appropriateness. As a result, 52 per cent of 761 licenses were identified to be eliminated and simplified. This process has helped to reduce an estimated RM792.2 million in business license compliance cost.</w:t>
            </w: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u w:val="single"/>
              </w:rPr>
            </w:pPr>
            <w:r w:rsidRPr="00063155">
              <w:rPr>
                <w:rFonts w:ascii="Calibri" w:hAnsi="Calibri"/>
                <w:i/>
                <w:sz w:val="20"/>
                <w:u w:val="single"/>
              </w:rPr>
              <w:t>Starting A Business</w:t>
            </w:r>
          </w:p>
          <w:p w:rsidR="00BC2608" w:rsidRPr="00063155" w:rsidRDefault="00BC2608" w:rsidP="002C7864">
            <w:pPr>
              <w:numPr>
                <w:ilvl w:val="0"/>
                <w:numId w:val="16"/>
              </w:numPr>
              <w:tabs>
                <w:tab w:val="clear" w:pos="765"/>
                <w:tab w:val="num" w:pos="432"/>
              </w:tabs>
              <w:ind w:left="432"/>
              <w:rPr>
                <w:rFonts w:ascii="Calibri" w:hAnsi="Calibri"/>
                <w:i/>
                <w:sz w:val="20"/>
                <w:lang w:val="en-US"/>
              </w:rPr>
            </w:pPr>
            <w:proofErr w:type="gramStart"/>
            <w:r w:rsidRPr="00063155">
              <w:rPr>
                <w:rFonts w:ascii="Calibri" w:hAnsi="Calibri"/>
                <w:i/>
                <w:sz w:val="20"/>
                <w:lang w:val="en-US"/>
              </w:rPr>
              <w:t>Introduced  Malaysian</w:t>
            </w:r>
            <w:proofErr w:type="gramEnd"/>
            <w:r w:rsidRPr="00063155">
              <w:rPr>
                <w:rFonts w:ascii="Calibri" w:hAnsi="Calibri"/>
                <w:i/>
                <w:sz w:val="20"/>
                <w:lang w:val="en-US"/>
              </w:rPr>
              <w:t xml:space="preserve"> Corporate Identity Number (</w:t>
            </w:r>
            <w:proofErr w:type="spellStart"/>
            <w:r w:rsidRPr="00063155">
              <w:rPr>
                <w:rFonts w:ascii="Calibri" w:hAnsi="Calibri"/>
                <w:i/>
                <w:sz w:val="20"/>
                <w:lang w:val="en-US"/>
              </w:rPr>
              <w:t>MyCoID</w:t>
            </w:r>
            <w:proofErr w:type="spellEnd"/>
            <w:r w:rsidRPr="00063155">
              <w:rPr>
                <w:rFonts w:ascii="Calibri" w:hAnsi="Calibri"/>
                <w:i/>
                <w:sz w:val="20"/>
                <w:lang w:val="en-US"/>
              </w:rPr>
              <w:t>) that allows the use of a single reference number for registration and transaction purposes with five Government agencies.</w:t>
            </w:r>
          </w:p>
          <w:p w:rsidR="00BC2608" w:rsidRPr="00063155" w:rsidRDefault="00BC2608" w:rsidP="002C7864">
            <w:pPr>
              <w:numPr>
                <w:ilvl w:val="0"/>
                <w:numId w:val="16"/>
              </w:numPr>
              <w:tabs>
                <w:tab w:val="clear" w:pos="765"/>
                <w:tab w:val="num" w:pos="432"/>
              </w:tabs>
              <w:ind w:left="432"/>
              <w:rPr>
                <w:rFonts w:ascii="Calibri" w:hAnsi="Calibri"/>
                <w:i/>
                <w:sz w:val="20"/>
                <w:lang w:val="en-US"/>
              </w:rPr>
            </w:pPr>
            <w:r w:rsidRPr="00063155">
              <w:rPr>
                <w:rFonts w:ascii="Calibri" w:hAnsi="Calibri"/>
                <w:i/>
                <w:sz w:val="20"/>
                <w:lang w:val="en-US"/>
              </w:rPr>
              <w:t xml:space="preserve">Business Licensing Electronic Support System (BLESS) has been improved to provide </w:t>
            </w:r>
            <w:proofErr w:type="spellStart"/>
            <w:r w:rsidRPr="00063155">
              <w:rPr>
                <w:rFonts w:ascii="Calibri" w:hAnsi="Calibri"/>
                <w:i/>
                <w:sz w:val="20"/>
                <w:lang w:val="en-US"/>
              </w:rPr>
              <w:t>simultanueos</w:t>
            </w:r>
            <w:proofErr w:type="spellEnd"/>
            <w:r w:rsidRPr="00063155">
              <w:rPr>
                <w:rFonts w:ascii="Calibri" w:hAnsi="Calibri"/>
                <w:i/>
                <w:sz w:val="20"/>
                <w:lang w:val="en-US"/>
              </w:rPr>
              <w:t xml:space="preserve"> applications for 102 </w:t>
            </w:r>
            <w:proofErr w:type="spellStart"/>
            <w:r w:rsidRPr="00063155">
              <w:rPr>
                <w:rFonts w:ascii="Calibri" w:hAnsi="Calibri"/>
                <w:i/>
                <w:sz w:val="20"/>
                <w:lang w:val="en-US"/>
              </w:rPr>
              <w:t>licences</w:t>
            </w:r>
            <w:proofErr w:type="spellEnd"/>
            <w:r w:rsidRPr="00063155">
              <w:rPr>
                <w:rFonts w:ascii="Calibri" w:hAnsi="Calibri"/>
                <w:i/>
                <w:sz w:val="20"/>
                <w:lang w:val="en-US"/>
              </w:rPr>
              <w:t>/ permits/ approvals offered by 45 agencies in the construction, manufacturing and hotel to the applicants registered with the Registrar of Companies (ROC).</w:t>
            </w: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u w:val="single"/>
              </w:rPr>
            </w:pPr>
            <w:r w:rsidRPr="00063155">
              <w:rPr>
                <w:rFonts w:ascii="Calibri" w:hAnsi="Calibri"/>
                <w:i/>
                <w:sz w:val="20"/>
                <w:u w:val="single"/>
              </w:rPr>
              <w:t>Trading Across Borders</w:t>
            </w:r>
          </w:p>
          <w:p w:rsidR="00BC2608" w:rsidRPr="00063155" w:rsidRDefault="00BC2608" w:rsidP="002C7864">
            <w:pPr>
              <w:numPr>
                <w:ilvl w:val="0"/>
                <w:numId w:val="16"/>
              </w:numPr>
              <w:tabs>
                <w:tab w:val="clear" w:pos="765"/>
                <w:tab w:val="num" w:pos="432"/>
              </w:tabs>
              <w:ind w:left="432"/>
              <w:rPr>
                <w:rFonts w:ascii="Calibri" w:hAnsi="Calibri"/>
                <w:i/>
                <w:sz w:val="20"/>
                <w:lang w:val="en-US"/>
              </w:rPr>
            </w:pPr>
            <w:r w:rsidRPr="00063155">
              <w:rPr>
                <w:rFonts w:ascii="Calibri" w:hAnsi="Calibri"/>
                <w:i/>
                <w:sz w:val="20"/>
                <w:lang w:val="en-US"/>
              </w:rPr>
              <w:t>Information on Permit Issuing Agencies (PIAs), client charter, work process flow and National Single Window (NSW) liaison officer has been published in the NSW’s portal (www.mytradelink.gov.my</w:t>
            </w:r>
          </w:p>
          <w:p w:rsidR="00BC2608" w:rsidRPr="00063155" w:rsidRDefault="00BC2608" w:rsidP="002C7864">
            <w:pPr>
              <w:numPr>
                <w:ilvl w:val="0"/>
                <w:numId w:val="16"/>
              </w:numPr>
              <w:tabs>
                <w:tab w:val="clear" w:pos="765"/>
                <w:tab w:val="num" w:pos="432"/>
              </w:tabs>
              <w:ind w:left="432"/>
              <w:rPr>
                <w:rFonts w:ascii="Calibri" w:hAnsi="Calibri"/>
                <w:i/>
                <w:sz w:val="20"/>
                <w:lang w:val="en-US"/>
              </w:rPr>
            </w:pPr>
            <w:r w:rsidRPr="00063155">
              <w:rPr>
                <w:rFonts w:ascii="Calibri" w:hAnsi="Calibri"/>
                <w:i/>
                <w:sz w:val="20"/>
                <w:lang w:val="en-US"/>
              </w:rPr>
              <w:t>One of the initiatives to reduce the number of documents for import and export is through the merging of invoice and packing list. This initiative reduces time taken to export and simplify process through reusability of data.</w:t>
            </w: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u w:val="single"/>
              </w:rPr>
            </w:pPr>
            <w:proofErr w:type="spellStart"/>
            <w:r w:rsidRPr="00063155">
              <w:rPr>
                <w:rFonts w:ascii="Calibri" w:hAnsi="Calibri"/>
                <w:i/>
                <w:sz w:val="20"/>
                <w:u w:val="single"/>
              </w:rPr>
              <w:t>Empoying</w:t>
            </w:r>
            <w:proofErr w:type="spellEnd"/>
            <w:r w:rsidRPr="00063155">
              <w:rPr>
                <w:rFonts w:ascii="Calibri" w:hAnsi="Calibri"/>
                <w:i/>
                <w:sz w:val="20"/>
                <w:u w:val="single"/>
              </w:rPr>
              <w:t xml:space="preserve"> Workers</w:t>
            </w:r>
          </w:p>
          <w:p w:rsidR="00BC2608" w:rsidRPr="00063155" w:rsidRDefault="00BC2608" w:rsidP="002C7864">
            <w:pPr>
              <w:numPr>
                <w:ilvl w:val="0"/>
                <w:numId w:val="16"/>
              </w:numPr>
              <w:tabs>
                <w:tab w:val="clear" w:pos="765"/>
                <w:tab w:val="num" w:pos="432"/>
              </w:tabs>
              <w:ind w:left="432"/>
              <w:rPr>
                <w:rFonts w:ascii="Calibri" w:hAnsi="Calibri"/>
                <w:b/>
                <w:bCs/>
                <w:i/>
                <w:sz w:val="20"/>
                <w:lang w:val="en-US"/>
              </w:rPr>
            </w:pPr>
            <w:r w:rsidRPr="00063155">
              <w:rPr>
                <w:rFonts w:ascii="Calibri" w:hAnsi="Calibri"/>
                <w:i/>
                <w:sz w:val="20"/>
                <w:lang w:val="en-US"/>
              </w:rPr>
              <w:t xml:space="preserve">Establishment of National Wages Consultative Council </w:t>
            </w:r>
            <w:bookmarkStart w:id="30" w:name="OLE_LINK1"/>
            <w:bookmarkStart w:id="31" w:name="OLE_LINK2"/>
            <w:r w:rsidRPr="00063155">
              <w:rPr>
                <w:rFonts w:ascii="Calibri" w:hAnsi="Calibri"/>
                <w:i/>
                <w:sz w:val="20"/>
                <w:lang w:val="en-US"/>
              </w:rPr>
              <w:t>which holds the responsibility to conduct studies on all matters concerning minimum wages and to make recommendation to the Government on minimum wages orders.</w:t>
            </w:r>
          </w:p>
          <w:p w:rsidR="00BC2608" w:rsidRPr="00063155" w:rsidRDefault="00BC2608" w:rsidP="002C7864">
            <w:pPr>
              <w:rPr>
                <w:rFonts w:ascii="Calibri" w:hAnsi="Calibri"/>
                <w:b/>
                <w:bCs/>
                <w:i/>
                <w:sz w:val="20"/>
              </w:rPr>
            </w:pPr>
          </w:p>
          <w:p w:rsidR="00BC2608" w:rsidRPr="00063155" w:rsidRDefault="00BC2608" w:rsidP="002C7864">
            <w:pPr>
              <w:rPr>
                <w:rFonts w:ascii="Calibri" w:hAnsi="Calibri"/>
                <w:b/>
                <w:bCs/>
                <w:i/>
                <w:sz w:val="20"/>
              </w:rPr>
            </w:pPr>
          </w:p>
          <w:p w:rsidR="00BC2608" w:rsidRPr="00063155" w:rsidRDefault="00BC2608" w:rsidP="002C7864">
            <w:pPr>
              <w:rPr>
                <w:rFonts w:ascii="Calibri" w:hAnsi="Calibri"/>
                <w:b/>
                <w:bCs/>
                <w:i/>
                <w:sz w:val="20"/>
              </w:rPr>
            </w:pPr>
          </w:p>
          <w:p w:rsidR="00BC2608" w:rsidRPr="00063155" w:rsidRDefault="00BC2608" w:rsidP="002C7864">
            <w:pPr>
              <w:rPr>
                <w:rFonts w:ascii="Calibri" w:hAnsi="Calibri"/>
                <w:b/>
                <w:bCs/>
                <w:i/>
                <w:sz w:val="20"/>
              </w:rPr>
            </w:pPr>
          </w:p>
          <w:p w:rsidR="00BC2608" w:rsidRPr="00063155" w:rsidRDefault="00BC2608" w:rsidP="002C7864">
            <w:pPr>
              <w:rPr>
                <w:rFonts w:ascii="Calibri" w:hAnsi="Calibri"/>
                <w:b/>
                <w:bCs/>
                <w:i/>
                <w:sz w:val="20"/>
              </w:rPr>
            </w:pPr>
          </w:p>
          <w:p w:rsidR="00BC2608" w:rsidRPr="00063155" w:rsidRDefault="00BC2608" w:rsidP="002C7864">
            <w:pPr>
              <w:rPr>
                <w:rFonts w:ascii="Calibri" w:hAnsi="Calibri"/>
                <w:b/>
                <w:bCs/>
                <w:i/>
                <w:sz w:val="20"/>
              </w:rPr>
            </w:pPr>
          </w:p>
          <w:p w:rsidR="00483D61" w:rsidRPr="00063155" w:rsidRDefault="00483D61" w:rsidP="002C7864">
            <w:pPr>
              <w:rPr>
                <w:rFonts w:ascii="Calibri" w:hAnsi="Calibri"/>
                <w:i/>
                <w:sz w:val="20"/>
                <w:u w:val="single"/>
              </w:rPr>
            </w:pPr>
          </w:p>
          <w:p w:rsidR="00BC2608" w:rsidRPr="00063155" w:rsidRDefault="00BC2608" w:rsidP="002C7864">
            <w:pPr>
              <w:rPr>
                <w:rFonts w:ascii="Calibri" w:hAnsi="Calibri"/>
                <w:i/>
                <w:sz w:val="20"/>
                <w:u w:val="single"/>
              </w:rPr>
            </w:pPr>
            <w:r w:rsidRPr="00063155">
              <w:rPr>
                <w:rFonts w:ascii="Calibri" w:hAnsi="Calibri"/>
                <w:i/>
                <w:sz w:val="20"/>
                <w:u w:val="single"/>
              </w:rPr>
              <w:t>Registering Property</w:t>
            </w:r>
          </w:p>
          <w:p w:rsidR="00BC2608" w:rsidRPr="00063155" w:rsidRDefault="00BC2608" w:rsidP="002C7864">
            <w:pPr>
              <w:numPr>
                <w:ilvl w:val="0"/>
                <w:numId w:val="16"/>
              </w:numPr>
              <w:tabs>
                <w:tab w:val="clear" w:pos="765"/>
                <w:tab w:val="num" w:pos="432"/>
              </w:tabs>
              <w:ind w:left="432"/>
              <w:rPr>
                <w:rFonts w:ascii="Calibri" w:hAnsi="Calibri"/>
                <w:i/>
                <w:sz w:val="20"/>
                <w:lang w:val="en-US"/>
              </w:rPr>
            </w:pPr>
            <w:proofErr w:type="gramStart"/>
            <w:r w:rsidRPr="00063155">
              <w:rPr>
                <w:rFonts w:ascii="Calibri" w:hAnsi="Calibri"/>
                <w:i/>
                <w:sz w:val="20"/>
                <w:lang w:val="en-US"/>
              </w:rPr>
              <w:t>continues</w:t>
            </w:r>
            <w:proofErr w:type="gramEnd"/>
            <w:r w:rsidRPr="00063155">
              <w:rPr>
                <w:rFonts w:ascii="Calibri" w:hAnsi="Calibri"/>
                <w:i/>
                <w:sz w:val="20"/>
                <w:lang w:val="en-US"/>
              </w:rPr>
              <w:t xml:space="preserve"> to improve the transparency and time taken for registering property. The improvement covers pre-, during and post-registration process. These include:</w:t>
            </w:r>
          </w:p>
          <w:p w:rsidR="00BC2608" w:rsidRPr="00063155" w:rsidRDefault="00BC2608" w:rsidP="002C7864">
            <w:pPr>
              <w:numPr>
                <w:ilvl w:val="0"/>
                <w:numId w:val="19"/>
              </w:numPr>
              <w:ind w:left="805"/>
              <w:rPr>
                <w:rFonts w:ascii="Calibri" w:hAnsi="Calibri"/>
                <w:i/>
                <w:sz w:val="20"/>
                <w:lang w:val="en-US"/>
              </w:rPr>
            </w:pPr>
            <w:proofErr w:type="spellStart"/>
            <w:r w:rsidRPr="00063155">
              <w:rPr>
                <w:rFonts w:ascii="Calibri" w:hAnsi="Calibri"/>
                <w:i/>
                <w:sz w:val="20"/>
                <w:lang w:val="en-US"/>
              </w:rPr>
              <w:t>Standardisation</w:t>
            </w:r>
            <w:proofErr w:type="spellEnd"/>
            <w:r w:rsidRPr="00063155">
              <w:rPr>
                <w:rFonts w:ascii="Calibri" w:hAnsi="Calibri"/>
                <w:i/>
                <w:sz w:val="20"/>
                <w:lang w:val="en-US"/>
              </w:rPr>
              <w:t xml:space="preserve"> of Form 14A according to the standard format as per National Land Code 1965;</w:t>
            </w:r>
          </w:p>
          <w:p w:rsidR="00BC2608" w:rsidRPr="00063155" w:rsidRDefault="00BC2608" w:rsidP="002C7864">
            <w:pPr>
              <w:numPr>
                <w:ilvl w:val="0"/>
                <w:numId w:val="19"/>
              </w:numPr>
              <w:ind w:left="805"/>
              <w:rPr>
                <w:rFonts w:ascii="Calibri" w:hAnsi="Calibri"/>
                <w:i/>
                <w:sz w:val="20"/>
                <w:lang w:val="en-US"/>
              </w:rPr>
            </w:pPr>
            <w:proofErr w:type="spellStart"/>
            <w:r w:rsidRPr="00063155">
              <w:rPr>
                <w:rFonts w:ascii="Calibri" w:hAnsi="Calibri"/>
                <w:i/>
                <w:sz w:val="20"/>
                <w:lang w:val="en-US"/>
              </w:rPr>
              <w:t>Implemention</w:t>
            </w:r>
            <w:proofErr w:type="spellEnd"/>
            <w:r w:rsidRPr="00063155">
              <w:rPr>
                <w:rFonts w:ascii="Calibri" w:hAnsi="Calibri"/>
                <w:i/>
                <w:sz w:val="20"/>
                <w:lang w:val="en-US"/>
              </w:rPr>
              <w:t xml:space="preserve"> of advance stamp duty payable within one day;</w:t>
            </w:r>
          </w:p>
          <w:p w:rsidR="00BC2608" w:rsidRPr="00063155" w:rsidRDefault="00BC2608" w:rsidP="002C7864">
            <w:pPr>
              <w:numPr>
                <w:ilvl w:val="0"/>
                <w:numId w:val="19"/>
              </w:numPr>
              <w:ind w:left="805"/>
              <w:rPr>
                <w:rFonts w:ascii="Calibri" w:hAnsi="Calibri"/>
                <w:i/>
                <w:sz w:val="20"/>
                <w:lang w:val="en-US"/>
              </w:rPr>
            </w:pPr>
            <w:proofErr w:type="spellStart"/>
            <w:r w:rsidRPr="00063155">
              <w:rPr>
                <w:rFonts w:ascii="Calibri" w:hAnsi="Calibri"/>
                <w:i/>
                <w:sz w:val="20"/>
                <w:lang w:val="en-US"/>
              </w:rPr>
              <w:t>Computerisation</w:t>
            </w:r>
            <w:proofErr w:type="spellEnd"/>
            <w:r w:rsidRPr="00063155">
              <w:rPr>
                <w:rFonts w:ascii="Calibri" w:hAnsi="Calibri"/>
                <w:i/>
                <w:sz w:val="20"/>
                <w:lang w:val="en-US"/>
              </w:rPr>
              <w:t xml:space="preserve"> of strata registration, similar to the Integrated Land Management System (SPTB) for land registration;</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Introduction of notification system that will complement the manual notice of the client’s submission status from Land Office; and</w:t>
            </w:r>
          </w:p>
          <w:p w:rsidR="00BC2608" w:rsidRPr="00063155" w:rsidRDefault="00BC2608" w:rsidP="002C7864">
            <w:pPr>
              <w:numPr>
                <w:ilvl w:val="0"/>
                <w:numId w:val="19"/>
              </w:numPr>
              <w:ind w:left="805"/>
              <w:rPr>
                <w:rFonts w:ascii="Calibri" w:hAnsi="Calibri"/>
                <w:i/>
                <w:sz w:val="20"/>
                <w:lang w:val="en-US"/>
              </w:rPr>
            </w:pPr>
            <w:proofErr w:type="spellStart"/>
            <w:r w:rsidRPr="00063155">
              <w:rPr>
                <w:rFonts w:ascii="Calibri" w:hAnsi="Calibri"/>
                <w:i/>
                <w:sz w:val="20"/>
                <w:lang w:val="en-US"/>
              </w:rPr>
              <w:t>Standardisation</w:t>
            </w:r>
            <w:proofErr w:type="spellEnd"/>
            <w:r w:rsidRPr="00063155">
              <w:rPr>
                <w:rFonts w:ascii="Calibri" w:hAnsi="Calibri"/>
                <w:i/>
                <w:sz w:val="20"/>
                <w:lang w:val="en-US"/>
              </w:rPr>
              <w:t xml:space="preserve"> of checklist for initial stage of submission of application.</w:t>
            </w:r>
          </w:p>
          <w:bookmarkEnd w:id="30"/>
          <w:bookmarkEnd w:id="31"/>
          <w:p w:rsidR="00BC2608" w:rsidRPr="00063155" w:rsidRDefault="00BC2608">
            <w:pPr>
              <w:rPr>
                <w:rFonts w:ascii="Calibri" w:hAnsi="Calibri"/>
                <w:i/>
                <w:sz w:val="20"/>
              </w:rPr>
            </w:pPr>
          </w:p>
        </w:tc>
        <w:tc>
          <w:tcPr>
            <w:tcW w:w="5670" w:type="dxa"/>
          </w:tcPr>
          <w:p w:rsidR="00BC2608" w:rsidRPr="00063155" w:rsidRDefault="00BC2608" w:rsidP="002C7864">
            <w:pPr>
              <w:rPr>
                <w:rFonts w:ascii="Calibri" w:hAnsi="Calibri" w:cs="Arial"/>
                <w:i/>
                <w:sz w:val="20"/>
              </w:rPr>
            </w:pPr>
            <w:bookmarkStart w:id="32" w:name="Cell20"/>
            <w:bookmarkEnd w:id="32"/>
            <w:r w:rsidRPr="00063155">
              <w:rPr>
                <w:rFonts w:ascii="Calibri" w:hAnsi="Calibri" w:cs="Arial"/>
                <w:i/>
                <w:sz w:val="20"/>
              </w:rPr>
              <w:t>Malaysia has embarked on a new direction in its development towards becoming a high-income economy which is inclusive and sustainable in-line with the goals set forth in the Vision 2020. In-line with the Government Transformation Program (GTP) and Economic Transformation Program, the government has  undertaken several initiatives in modernising business regulations as follows;</w:t>
            </w:r>
          </w:p>
          <w:p w:rsidR="00BC2608" w:rsidRPr="00063155" w:rsidRDefault="00BC2608" w:rsidP="002C7864">
            <w:pPr>
              <w:numPr>
                <w:ilvl w:val="0"/>
                <w:numId w:val="17"/>
              </w:numPr>
              <w:tabs>
                <w:tab w:val="clear" w:pos="720"/>
                <w:tab w:val="num" w:pos="445"/>
              </w:tabs>
              <w:ind w:left="445"/>
              <w:rPr>
                <w:rFonts w:ascii="Calibri" w:hAnsi="Calibri" w:cs="Arial"/>
                <w:i/>
                <w:sz w:val="20"/>
              </w:rPr>
            </w:pPr>
            <w:r w:rsidRPr="00063155">
              <w:rPr>
                <w:rFonts w:ascii="Calibri" w:hAnsi="Calibri" w:cs="Arial"/>
                <w:i/>
                <w:sz w:val="20"/>
              </w:rPr>
              <w:t>Conducting business licensing review for all governments’ licenses and permits to further improve ease of doing business and the nation’s overall competitiveness</w:t>
            </w:r>
          </w:p>
          <w:p w:rsidR="00BC2608" w:rsidRPr="00063155" w:rsidRDefault="00BC2608" w:rsidP="002C7864">
            <w:pPr>
              <w:numPr>
                <w:ilvl w:val="0"/>
                <w:numId w:val="17"/>
              </w:numPr>
              <w:tabs>
                <w:tab w:val="clear" w:pos="720"/>
                <w:tab w:val="num" w:pos="445"/>
              </w:tabs>
              <w:ind w:left="445"/>
              <w:rPr>
                <w:rFonts w:ascii="Calibri" w:hAnsi="Calibri" w:cs="Arial"/>
                <w:i/>
                <w:sz w:val="20"/>
              </w:rPr>
            </w:pPr>
            <w:r w:rsidRPr="00063155">
              <w:rPr>
                <w:rFonts w:ascii="Calibri" w:hAnsi="Calibri" w:cs="Arial"/>
                <w:i/>
                <w:sz w:val="20"/>
              </w:rPr>
              <w:t>Enhancing collaboration between public and private sector in regulatory review especially that will impact the National Key Economic Areas.</w:t>
            </w:r>
          </w:p>
          <w:p w:rsidR="00BC2608" w:rsidRPr="00063155" w:rsidRDefault="00BC2608" w:rsidP="002C7864">
            <w:pPr>
              <w:numPr>
                <w:ilvl w:val="0"/>
                <w:numId w:val="17"/>
              </w:numPr>
              <w:tabs>
                <w:tab w:val="clear" w:pos="720"/>
                <w:tab w:val="num" w:pos="445"/>
              </w:tabs>
              <w:ind w:left="445"/>
              <w:rPr>
                <w:rFonts w:ascii="Calibri" w:hAnsi="Calibri" w:cs="Arial"/>
                <w:i/>
                <w:sz w:val="20"/>
              </w:rPr>
            </w:pPr>
            <w:r w:rsidRPr="00063155">
              <w:rPr>
                <w:rFonts w:ascii="Calibri" w:hAnsi="Calibri" w:cs="Arial"/>
                <w:i/>
                <w:sz w:val="20"/>
              </w:rPr>
              <w:t>Analysing international best practices which are suitable to be adapted</w:t>
            </w:r>
          </w:p>
          <w:p w:rsidR="00BC2608" w:rsidRPr="00063155" w:rsidRDefault="00BC2608" w:rsidP="002C7864">
            <w:pPr>
              <w:numPr>
                <w:ilvl w:val="0"/>
                <w:numId w:val="17"/>
              </w:numPr>
              <w:tabs>
                <w:tab w:val="clear" w:pos="720"/>
                <w:tab w:val="num" w:pos="445"/>
              </w:tabs>
              <w:ind w:left="445"/>
              <w:rPr>
                <w:rFonts w:ascii="Calibri" w:hAnsi="Calibri" w:cs="Arial"/>
                <w:i/>
                <w:sz w:val="20"/>
              </w:rPr>
            </w:pPr>
            <w:r w:rsidRPr="00063155">
              <w:rPr>
                <w:rFonts w:ascii="Calibri" w:hAnsi="Calibri" w:cs="Arial"/>
                <w:i/>
                <w:sz w:val="20"/>
              </w:rPr>
              <w:t>Networking with local and international agencies and putting in place efficient and effective regulatory system</w:t>
            </w:r>
          </w:p>
          <w:p w:rsidR="00BC2608" w:rsidRPr="00063155" w:rsidRDefault="00BC2608" w:rsidP="002C7864">
            <w:pPr>
              <w:numPr>
                <w:ilvl w:val="0"/>
                <w:numId w:val="17"/>
              </w:numPr>
              <w:tabs>
                <w:tab w:val="clear" w:pos="720"/>
                <w:tab w:val="num" w:pos="445"/>
              </w:tabs>
              <w:ind w:left="445"/>
              <w:rPr>
                <w:rFonts w:ascii="Calibri" w:hAnsi="Calibri" w:cs="Arial"/>
                <w:i/>
                <w:sz w:val="20"/>
              </w:rPr>
            </w:pPr>
            <w:r w:rsidRPr="00063155">
              <w:rPr>
                <w:rFonts w:ascii="Calibri" w:hAnsi="Calibri" w:cs="Arial"/>
                <w:i/>
                <w:sz w:val="20"/>
              </w:rPr>
              <w:t>Promoting best practices regulations that match global standards and adapt to rapidly changing environment</w:t>
            </w:r>
          </w:p>
          <w:p w:rsidR="00BC2608" w:rsidRPr="00063155" w:rsidRDefault="00BC2608" w:rsidP="002C7864">
            <w:pPr>
              <w:numPr>
                <w:ilvl w:val="0"/>
                <w:numId w:val="17"/>
              </w:numPr>
              <w:tabs>
                <w:tab w:val="clear" w:pos="720"/>
                <w:tab w:val="num" w:pos="445"/>
              </w:tabs>
              <w:ind w:left="445"/>
              <w:rPr>
                <w:rFonts w:ascii="Calibri" w:hAnsi="Calibri" w:cs="Arial"/>
                <w:i/>
                <w:sz w:val="20"/>
              </w:rPr>
            </w:pPr>
            <w:r w:rsidRPr="00063155">
              <w:rPr>
                <w:rFonts w:ascii="Calibri" w:hAnsi="Calibri" w:cs="Arial"/>
                <w:i/>
                <w:sz w:val="20"/>
              </w:rPr>
              <w:t>Organise program on good regulatory practices to increase  productivity, economic growth, and competitiveness</w:t>
            </w:r>
          </w:p>
          <w:p w:rsidR="00BC2608" w:rsidRPr="00063155" w:rsidRDefault="00BC2608" w:rsidP="002C7864">
            <w:pPr>
              <w:numPr>
                <w:ilvl w:val="0"/>
                <w:numId w:val="17"/>
              </w:numPr>
              <w:tabs>
                <w:tab w:val="clear" w:pos="720"/>
                <w:tab w:val="num" w:pos="445"/>
              </w:tabs>
              <w:ind w:left="445"/>
              <w:rPr>
                <w:rFonts w:ascii="Calibri" w:hAnsi="Calibri" w:cs="Arial"/>
                <w:i/>
                <w:sz w:val="20"/>
              </w:rPr>
            </w:pPr>
            <w:r w:rsidRPr="00063155">
              <w:rPr>
                <w:rFonts w:ascii="Calibri" w:hAnsi="Calibri" w:cs="Arial"/>
                <w:i/>
                <w:sz w:val="20"/>
              </w:rPr>
              <w:t>Facilitates business growth through PEMUDAH initiatives especially the small and medium enterprises who typically do not have the financial resources to deal with regulatory requirements in a cost-effective manner</w:t>
            </w:r>
          </w:p>
          <w:p w:rsidR="00BC2608" w:rsidRPr="00063155" w:rsidRDefault="00BC2608" w:rsidP="002C7864">
            <w:pPr>
              <w:numPr>
                <w:ilvl w:val="0"/>
                <w:numId w:val="17"/>
              </w:numPr>
              <w:tabs>
                <w:tab w:val="clear" w:pos="720"/>
                <w:tab w:val="num" w:pos="445"/>
              </w:tabs>
              <w:ind w:left="445"/>
              <w:rPr>
                <w:rFonts w:ascii="Calibri" w:hAnsi="Calibri" w:cs="Arial"/>
                <w:i/>
                <w:sz w:val="20"/>
              </w:rPr>
            </w:pPr>
            <w:r w:rsidRPr="00063155">
              <w:rPr>
                <w:rFonts w:ascii="Calibri" w:hAnsi="Calibri" w:cs="Arial"/>
                <w:i/>
                <w:sz w:val="20"/>
              </w:rPr>
              <w:t>Continuously improve the interface between the business and government by reducing procedures for approvals  and leveraging on ICT</w:t>
            </w:r>
          </w:p>
          <w:p w:rsidR="00BC2608" w:rsidRPr="00063155" w:rsidRDefault="00BC2608" w:rsidP="002C7864">
            <w:pPr>
              <w:numPr>
                <w:ilvl w:val="0"/>
                <w:numId w:val="17"/>
              </w:numPr>
              <w:tabs>
                <w:tab w:val="clear" w:pos="720"/>
                <w:tab w:val="num" w:pos="445"/>
              </w:tabs>
              <w:ind w:left="445"/>
              <w:rPr>
                <w:rFonts w:ascii="Calibri" w:hAnsi="Calibri" w:cs="Arial"/>
                <w:i/>
                <w:sz w:val="20"/>
              </w:rPr>
            </w:pPr>
            <w:r w:rsidRPr="00063155">
              <w:rPr>
                <w:rFonts w:ascii="Calibri" w:hAnsi="Calibri" w:cs="Arial"/>
                <w:i/>
                <w:sz w:val="20"/>
              </w:rPr>
              <w:t>Building capabilities in regulatory review in order to sustain innovation, economic health, and job creation.</w:t>
            </w:r>
          </w:p>
          <w:p w:rsidR="00BC2608" w:rsidRPr="00063155" w:rsidRDefault="00BC2608">
            <w:pPr>
              <w:rPr>
                <w:rFonts w:ascii="Calibri" w:hAnsi="Calibri"/>
                <w:i/>
                <w:sz w:val="20"/>
              </w:rPr>
            </w:pPr>
          </w:p>
          <w:p w:rsidR="00BC2608" w:rsidRPr="00063155" w:rsidRDefault="00BC2608" w:rsidP="002C7864">
            <w:pPr>
              <w:rPr>
                <w:rFonts w:ascii="Calibri" w:hAnsi="Calibri"/>
                <w:i/>
                <w:sz w:val="20"/>
                <w:u w:val="single"/>
              </w:rPr>
            </w:pPr>
            <w:r w:rsidRPr="00063155">
              <w:rPr>
                <w:rFonts w:ascii="Calibri" w:hAnsi="Calibri"/>
                <w:i/>
                <w:sz w:val="20"/>
                <w:u w:val="single"/>
              </w:rPr>
              <w:t>Business Process Re-Engineering In Business Licensing</w:t>
            </w:r>
          </w:p>
          <w:p w:rsidR="00BC2608" w:rsidRPr="00063155" w:rsidRDefault="00BC2608" w:rsidP="002C7864">
            <w:pPr>
              <w:numPr>
                <w:ilvl w:val="0"/>
                <w:numId w:val="17"/>
              </w:numPr>
              <w:tabs>
                <w:tab w:val="clear" w:pos="720"/>
                <w:tab w:val="num" w:pos="445"/>
              </w:tabs>
              <w:ind w:left="445"/>
              <w:rPr>
                <w:rFonts w:ascii="Calibri" w:hAnsi="Calibri"/>
                <w:i/>
                <w:sz w:val="20"/>
                <w:lang w:val="en-US"/>
              </w:rPr>
            </w:pPr>
            <w:r w:rsidRPr="00063155">
              <w:rPr>
                <w:rFonts w:ascii="Calibri" w:hAnsi="Calibri"/>
                <w:i/>
                <w:sz w:val="20"/>
                <w:lang w:val="en-US"/>
              </w:rPr>
              <w:t>Going forward, the Focus Group under PEMUDAH will:</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 xml:space="preserve">Streamline and simplify business licensing processes using Business Process Reengineering methodology; </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 xml:space="preserve">Coordinate and monitor the implementation of reformed </w:t>
            </w:r>
            <w:proofErr w:type="spellStart"/>
            <w:r w:rsidRPr="00063155">
              <w:rPr>
                <w:rFonts w:ascii="Calibri" w:hAnsi="Calibri"/>
                <w:i/>
                <w:sz w:val="20"/>
                <w:lang w:val="en-US"/>
              </w:rPr>
              <w:t>programme</w:t>
            </w:r>
            <w:proofErr w:type="spellEnd"/>
            <w:r w:rsidRPr="00063155">
              <w:rPr>
                <w:rFonts w:ascii="Calibri" w:hAnsi="Calibri"/>
                <w:i/>
                <w:sz w:val="20"/>
                <w:lang w:val="en-US"/>
              </w:rPr>
              <w:t xml:space="preserve"> across Ministries and agencies; and</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Incorporating reformed licenses for online registration into Business Licensing Electronic Support System (BLESS).</w:t>
            </w:r>
          </w:p>
          <w:p w:rsidR="00BC2608" w:rsidRPr="00063155" w:rsidRDefault="00BC2608" w:rsidP="002C7864">
            <w:pPr>
              <w:rPr>
                <w:rFonts w:ascii="Calibri" w:hAnsi="Calibri"/>
                <w:i/>
                <w:sz w:val="20"/>
                <w:u w:val="single"/>
              </w:rPr>
            </w:pPr>
          </w:p>
          <w:p w:rsidR="00BC2608" w:rsidRPr="00063155" w:rsidRDefault="00BC2608" w:rsidP="002C7864">
            <w:pPr>
              <w:rPr>
                <w:rFonts w:ascii="Calibri" w:hAnsi="Calibri"/>
                <w:i/>
                <w:sz w:val="20"/>
                <w:u w:val="single"/>
              </w:rPr>
            </w:pPr>
          </w:p>
          <w:p w:rsidR="00BC2608" w:rsidRPr="00063155" w:rsidRDefault="00BC2608" w:rsidP="002C7864">
            <w:pPr>
              <w:rPr>
                <w:rFonts w:ascii="Calibri" w:hAnsi="Calibri"/>
                <w:i/>
                <w:sz w:val="20"/>
                <w:u w:val="single"/>
              </w:rPr>
            </w:pPr>
          </w:p>
          <w:p w:rsidR="00BC2608" w:rsidRPr="00063155" w:rsidRDefault="00BC2608" w:rsidP="002C7864">
            <w:pPr>
              <w:rPr>
                <w:rFonts w:ascii="Calibri" w:hAnsi="Calibri"/>
                <w:i/>
                <w:sz w:val="20"/>
                <w:u w:val="single"/>
              </w:rPr>
            </w:pPr>
          </w:p>
          <w:p w:rsidR="00BC2608" w:rsidRPr="00063155" w:rsidRDefault="00BC2608" w:rsidP="002C7864">
            <w:pPr>
              <w:rPr>
                <w:rFonts w:ascii="Calibri" w:hAnsi="Calibri"/>
                <w:i/>
                <w:sz w:val="20"/>
                <w:u w:val="single"/>
              </w:rPr>
            </w:pPr>
          </w:p>
          <w:p w:rsidR="00BC2608" w:rsidRPr="00063155" w:rsidRDefault="00BC2608" w:rsidP="002C7864">
            <w:pPr>
              <w:rPr>
                <w:rFonts w:ascii="Calibri" w:hAnsi="Calibri"/>
                <w:i/>
                <w:sz w:val="20"/>
                <w:u w:val="single"/>
              </w:rPr>
            </w:pPr>
            <w:r w:rsidRPr="00063155">
              <w:rPr>
                <w:rFonts w:ascii="Calibri" w:hAnsi="Calibri"/>
                <w:i/>
                <w:sz w:val="20"/>
                <w:u w:val="single"/>
              </w:rPr>
              <w:t>Starting A Business</w:t>
            </w:r>
          </w:p>
          <w:p w:rsidR="00BC2608" w:rsidRPr="00063155" w:rsidRDefault="00BC2608" w:rsidP="002C7864">
            <w:pPr>
              <w:numPr>
                <w:ilvl w:val="0"/>
                <w:numId w:val="16"/>
              </w:numPr>
              <w:tabs>
                <w:tab w:val="clear" w:pos="765"/>
                <w:tab w:val="num" w:pos="432"/>
              </w:tabs>
              <w:ind w:left="432"/>
              <w:rPr>
                <w:rFonts w:ascii="Calibri" w:hAnsi="Calibri"/>
                <w:i/>
                <w:sz w:val="20"/>
                <w:lang w:val="en-US"/>
              </w:rPr>
            </w:pPr>
            <w:r w:rsidRPr="00063155">
              <w:rPr>
                <w:rFonts w:ascii="Calibri" w:hAnsi="Calibri"/>
                <w:i/>
                <w:sz w:val="20"/>
                <w:lang w:val="en-US"/>
              </w:rPr>
              <w:t xml:space="preserve">To increase the take up rate of using </w:t>
            </w:r>
            <w:proofErr w:type="spellStart"/>
            <w:r w:rsidRPr="00063155">
              <w:rPr>
                <w:rFonts w:ascii="Calibri" w:hAnsi="Calibri"/>
                <w:i/>
                <w:sz w:val="20"/>
                <w:lang w:val="en-US"/>
              </w:rPr>
              <w:t>MyCoID</w:t>
            </w:r>
            <w:proofErr w:type="spellEnd"/>
            <w:r w:rsidRPr="00063155">
              <w:rPr>
                <w:rFonts w:ascii="Calibri" w:hAnsi="Calibri"/>
                <w:i/>
                <w:sz w:val="20"/>
                <w:lang w:val="en-US"/>
              </w:rPr>
              <w:t xml:space="preserve"> (for company incorporation) through awareness </w:t>
            </w:r>
            <w:proofErr w:type="spellStart"/>
            <w:r w:rsidRPr="00063155">
              <w:rPr>
                <w:rFonts w:ascii="Calibri" w:hAnsi="Calibri"/>
                <w:i/>
                <w:sz w:val="20"/>
                <w:lang w:val="en-US"/>
              </w:rPr>
              <w:t>programme</w:t>
            </w:r>
            <w:proofErr w:type="spellEnd"/>
            <w:r w:rsidRPr="00063155">
              <w:rPr>
                <w:rFonts w:ascii="Calibri" w:hAnsi="Calibri"/>
                <w:i/>
                <w:sz w:val="20"/>
                <w:lang w:val="en-US"/>
              </w:rPr>
              <w:t xml:space="preserve">; and </w:t>
            </w:r>
          </w:p>
          <w:p w:rsidR="00BC2608" w:rsidRPr="00063155" w:rsidRDefault="00BC2608" w:rsidP="002C7864">
            <w:pPr>
              <w:numPr>
                <w:ilvl w:val="0"/>
                <w:numId w:val="16"/>
              </w:numPr>
              <w:tabs>
                <w:tab w:val="clear" w:pos="765"/>
                <w:tab w:val="num" w:pos="432"/>
              </w:tabs>
              <w:ind w:left="432"/>
              <w:rPr>
                <w:rFonts w:ascii="Calibri" w:hAnsi="Calibri"/>
                <w:i/>
                <w:sz w:val="20"/>
                <w:lang w:val="en-US"/>
              </w:rPr>
            </w:pPr>
            <w:r w:rsidRPr="00063155">
              <w:rPr>
                <w:rFonts w:ascii="Calibri" w:hAnsi="Calibri"/>
                <w:i/>
                <w:sz w:val="20"/>
                <w:lang w:val="en-US"/>
              </w:rPr>
              <w:t xml:space="preserve">BLESS Phase II and III was initiated in May 2011 and is scheduled to be completed in November 2013. Phase II and III is planned to cover 73 agencies and about 350 </w:t>
            </w:r>
            <w:proofErr w:type="spellStart"/>
            <w:r w:rsidRPr="00063155">
              <w:rPr>
                <w:rFonts w:ascii="Calibri" w:hAnsi="Calibri"/>
                <w:i/>
                <w:sz w:val="20"/>
                <w:lang w:val="en-US"/>
              </w:rPr>
              <w:t>licences</w:t>
            </w:r>
            <w:proofErr w:type="spellEnd"/>
            <w:r w:rsidRPr="00063155">
              <w:rPr>
                <w:rFonts w:ascii="Calibri" w:hAnsi="Calibri"/>
                <w:i/>
                <w:sz w:val="20"/>
                <w:lang w:val="en-US"/>
              </w:rPr>
              <w:t>/ permits/ approvals and incorporates several improvements over Phase I by including the following:</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 xml:space="preserve">Applications for the renewal of </w:t>
            </w:r>
            <w:proofErr w:type="spellStart"/>
            <w:r w:rsidRPr="00063155">
              <w:rPr>
                <w:rFonts w:ascii="Calibri" w:hAnsi="Calibri"/>
                <w:i/>
                <w:sz w:val="20"/>
                <w:lang w:val="en-US"/>
              </w:rPr>
              <w:t>licences</w:t>
            </w:r>
            <w:proofErr w:type="spellEnd"/>
            <w:r w:rsidRPr="00063155">
              <w:rPr>
                <w:rFonts w:ascii="Calibri" w:hAnsi="Calibri"/>
                <w:i/>
                <w:sz w:val="20"/>
                <w:lang w:val="en-US"/>
              </w:rPr>
              <w:t>/ permits/ approvals;</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Inclusion of licenses in five additional sectors of     tourism, health, education and training, logistics and distributive trade;</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 xml:space="preserve">Enabling individual applicants or applicants registered with the Registrar of Businesses (ROB), Registrar of Societies (ROS) or the Cooperatives Commission to apply </w:t>
            </w:r>
            <w:proofErr w:type="spellStart"/>
            <w:r w:rsidRPr="00063155">
              <w:rPr>
                <w:rFonts w:ascii="Calibri" w:hAnsi="Calibri"/>
                <w:i/>
                <w:sz w:val="20"/>
                <w:lang w:val="en-US"/>
              </w:rPr>
              <w:t>licences</w:t>
            </w:r>
            <w:proofErr w:type="spellEnd"/>
            <w:r w:rsidRPr="00063155">
              <w:rPr>
                <w:rFonts w:ascii="Calibri" w:hAnsi="Calibri"/>
                <w:i/>
                <w:sz w:val="20"/>
                <w:lang w:val="en-US"/>
              </w:rPr>
              <w:t>/permits/ approvals via BLESS;</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Interfacing BLESS with online systems operated by agencies; and</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 xml:space="preserve"> Rolling out BLESS to the whole of Peninsular Malaysia</w:t>
            </w:r>
          </w:p>
          <w:p w:rsidR="00BC2608" w:rsidRPr="00063155" w:rsidRDefault="00BC2608" w:rsidP="002C7864">
            <w:pPr>
              <w:rPr>
                <w:rFonts w:ascii="Calibri" w:hAnsi="Calibri"/>
                <w:i/>
                <w:sz w:val="20"/>
                <w:lang w:val="en-US"/>
              </w:rPr>
            </w:pPr>
          </w:p>
          <w:p w:rsidR="00BC2608" w:rsidRPr="00063155" w:rsidRDefault="00BC2608" w:rsidP="002C7864">
            <w:pPr>
              <w:rPr>
                <w:rFonts w:ascii="Calibri" w:hAnsi="Calibri"/>
                <w:i/>
                <w:sz w:val="20"/>
                <w:u w:val="single"/>
              </w:rPr>
            </w:pPr>
            <w:r w:rsidRPr="00063155">
              <w:rPr>
                <w:rFonts w:ascii="Calibri" w:hAnsi="Calibri"/>
                <w:i/>
                <w:sz w:val="20"/>
                <w:u w:val="single"/>
              </w:rPr>
              <w:t>Trading Across Borders</w:t>
            </w:r>
          </w:p>
          <w:p w:rsidR="00BC2608" w:rsidRPr="00063155" w:rsidRDefault="00BC2608" w:rsidP="002C7864">
            <w:pPr>
              <w:numPr>
                <w:ilvl w:val="0"/>
                <w:numId w:val="16"/>
              </w:numPr>
              <w:tabs>
                <w:tab w:val="clear" w:pos="765"/>
                <w:tab w:val="num" w:pos="432"/>
              </w:tabs>
              <w:ind w:left="432"/>
              <w:rPr>
                <w:rFonts w:ascii="Calibri" w:hAnsi="Calibri"/>
                <w:i/>
                <w:sz w:val="20"/>
                <w:lang w:val="en-US"/>
              </w:rPr>
            </w:pPr>
            <w:r w:rsidRPr="00063155">
              <w:rPr>
                <w:rFonts w:ascii="Calibri" w:hAnsi="Calibri"/>
                <w:i/>
                <w:sz w:val="20"/>
                <w:lang w:val="en-US"/>
              </w:rPr>
              <w:t xml:space="preserve">To </w:t>
            </w:r>
            <w:proofErr w:type="gramStart"/>
            <w:r w:rsidRPr="00063155">
              <w:rPr>
                <w:rFonts w:ascii="Calibri" w:hAnsi="Calibri"/>
                <w:i/>
                <w:sz w:val="20"/>
                <w:lang w:val="en-US"/>
              </w:rPr>
              <w:t>Promote</w:t>
            </w:r>
            <w:proofErr w:type="gramEnd"/>
            <w:r w:rsidRPr="00063155">
              <w:rPr>
                <w:rFonts w:ascii="Calibri" w:hAnsi="Calibri"/>
                <w:i/>
                <w:sz w:val="20"/>
                <w:lang w:val="en-US"/>
              </w:rPr>
              <w:t xml:space="preserve"> transparency among Forwarding Agents, Freight Forwarders and </w:t>
            </w:r>
            <w:proofErr w:type="spellStart"/>
            <w:r w:rsidRPr="00063155">
              <w:rPr>
                <w:rFonts w:ascii="Calibri" w:hAnsi="Calibri"/>
                <w:i/>
                <w:sz w:val="20"/>
                <w:lang w:val="en-US"/>
              </w:rPr>
              <w:t>Hauliers</w:t>
            </w:r>
            <w:proofErr w:type="spellEnd"/>
            <w:r w:rsidRPr="00063155">
              <w:rPr>
                <w:rFonts w:ascii="Calibri" w:hAnsi="Calibri"/>
                <w:i/>
                <w:sz w:val="20"/>
                <w:lang w:val="en-US"/>
              </w:rPr>
              <w:t xml:space="preserve"> by encouraging them to publish their charges and fees in their websites.</w:t>
            </w: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rPr>
            </w:pPr>
          </w:p>
          <w:p w:rsidR="00BC2608" w:rsidRPr="00063155" w:rsidRDefault="00BC2608" w:rsidP="002C7864">
            <w:pPr>
              <w:rPr>
                <w:rFonts w:ascii="Calibri" w:hAnsi="Calibri"/>
                <w:i/>
                <w:sz w:val="20"/>
                <w:u w:val="single"/>
              </w:rPr>
            </w:pPr>
          </w:p>
          <w:p w:rsidR="00BC2608" w:rsidRPr="00063155" w:rsidRDefault="00BC2608" w:rsidP="002C7864">
            <w:pPr>
              <w:rPr>
                <w:rFonts w:ascii="Calibri" w:hAnsi="Calibri"/>
                <w:i/>
                <w:sz w:val="20"/>
                <w:u w:val="single"/>
              </w:rPr>
            </w:pPr>
            <w:r w:rsidRPr="00063155">
              <w:rPr>
                <w:rFonts w:ascii="Calibri" w:hAnsi="Calibri"/>
                <w:i/>
                <w:sz w:val="20"/>
                <w:u w:val="single"/>
              </w:rPr>
              <w:t>Emp</w:t>
            </w:r>
            <w:r w:rsidR="00483D61">
              <w:rPr>
                <w:rFonts w:ascii="Calibri" w:hAnsi="Calibri"/>
                <w:i/>
                <w:sz w:val="20"/>
                <w:u w:val="single"/>
              </w:rPr>
              <w:t>l</w:t>
            </w:r>
            <w:r w:rsidRPr="00063155">
              <w:rPr>
                <w:rFonts w:ascii="Calibri" w:hAnsi="Calibri"/>
                <w:i/>
                <w:sz w:val="20"/>
                <w:u w:val="single"/>
              </w:rPr>
              <w:t>oying Workers</w:t>
            </w:r>
          </w:p>
          <w:p w:rsidR="00BC2608" w:rsidRPr="00063155" w:rsidRDefault="00BC2608" w:rsidP="002C7864">
            <w:pPr>
              <w:numPr>
                <w:ilvl w:val="0"/>
                <w:numId w:val="16"/>
              </w:numPr>
              <w:tabs>
                <w:tab w:val="clear" w:pos="765"/>
                <w:tab w:val="num" w:pos="432"/>
              </w:tabs>
              <w:ind w:left="432"/>
              <w:rPr>
                <w:rFonts w:ascii="Calibri" w:hAnsi="Calibri"/>
                <w:i/>
                <w:sz w:val="20"/>
                <w:lang w:val="en-US"/>
              </w:rPr>
            </w:pPr>
            <w:r w:rsidRPr="00063155">
              <w:rPr>
                <w:rFonts w:ascii="Calibri" w:hAnsi="Calibri"/>
                <w:i/>
                <w:sz w:val="20"/>
                <w:lang w:val="en-US"/>
              </w:rPr>
              <w:t>Formulation of Standard Definition of Wages based on  the Employment Act 1955, Employees Provident Fund (EPF) Act 1991, Employees Social Security Act 1969 and Human Resources Development Fund (HRDF) Act 2001.</w:t>
            </w:r>
            <w:r w:rsidRPr="00063155">
              <w:rPr>
                <w:rFonts w:ascii="Calibri" w:hAnsi="Calibri"/>
                <w:b/>
                <w:i/>
                <w:sz w:val="20"/>
                <w:lang w:val="en-US"/>
              </w:rPr>
              <w:t xml:space="preserve"> </w:t>
            </w:r>
            <w:r w:rsidRPr="00063155">
              <w:rPr>
                <w:rFonts w:ascii="Calibri" w:hAnsi="Calibri"/>
                <w:i/>
                <w:sz w:val="20"/>
                <w:lang w:val="en-US"/>
              </w:rPr>
              <w:t xml:space="preserve">The objectives are to: </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Facilitate and assist employers in calculating and making contribution to EPF, SOCSO and HRDF;</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Ease the calculation of the Ordinary Rate of Pay (ORP) under the Employment Act 1955;</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Strengthen the social safety net especially old age savings; and</w:t>
            </w:r>
          </w:p>
          <w:p w:rsidR="00BC2608" w:rsidRPr="00063155" w:rsidRDefault="00BC2608" w:rsidP="002C7864">
            <w:pPr>
              <w:numPr>
                <w:ilvl w:val="0"/>
                <w:numId w:val="19"/>
              </w:numPr>
              <w:ind w:left="805"/>
              <w:rPr>
                <w:rFonts w:ascii="Calibri" w:hAnsi="Calibri"/>
                <w:i/>
                <w:sz w:val="20"/>
                <w:lang w:val="en-US"/>
              </w:rPr>
            </w:pPr>
            <w:r w:rsidRPr="00063155">
              <w:rPr>
                <w:rFonts w:ascii="Calibri" w:hAnsi="Calibri"/>
                <w:i/>
                <w:sz w:val="20"/>
                <w:lang w:val="en-US"/>
              </w:rPr>
              <w:t>Strengthen the service delivery and enforcement by the Government agencies.</w:t>
            </w:r>
          </w:p>
          <w:p w:rsidR="00BC2608" w:rsidRPr="00063155" w:rsidRDefault="00BC2608" w:rsidP="002C7864">
            <w:pPr>
              <w:rPr>
                <w:rFonts w:ascii="Calibri" w:hAnsi="Calibri"/>
                <w:i/>
                <w:sz w:val="20"/>
                <w:lang w:val="en-US"/>
              </w:rPr>
            </w:pPr>
          </w:p>
          <w:p w:rsidR="00BC2608" w:rsidRPr="00063155" w:rsidRDefault="00BC2608" w:rsidP="002C7864">
            <w:pPr>
              <w:rPr>
                <w:rFonts w:ascii="Calibri" w:hAnsi="Calibri"/>
                <w:i/>
                <w:sz w:val="20"/>
                <w:u w:val="single"/>
              </w:rPr>
            </w:pPr>
            <w:r w:rsidRPr="00063155">
              <w:rPr>
                <w:rFonts w:ascii="Calibri" w:hAnsi="Calibri"/>
                <w:i/>
                <w:sz w:val="20"/>
                <w:u w:val="single"/>
              </w:rPr>
              <w:t>Registering Property</w:t>
            </w:r>
          </w:p>
          <w:p w:rsidR="00BC2608" w:rsidRPr="00063155" w:rsidRDefault="00BC2608" w:rsidP="002C7864">
            <w:pPr>
              <w:rPr>
                <w:rFonts w:ascii="Calibri" w:hAnsi="Calibri"/>
                <w:i/>
                <w:sz w:val="20"/>
              </w:rPr>
            </w:pPr>
            <w:r w:rsidRPr="00063155">
              <w:rPr>
                <w:rFonts w:ascii="Calibri" w:hAnsi="Calibri"/>
                <w:i/>
                <w:sz w:val="20"/>
              </w:rPr>
              <w:t>To Incorporate additional improvement made in the 3rd Edition Guidebook on Registering Property in Malaysia namely reduction in the number of procedures through self-registration and faster registration of Strata Title</w:t>
            </w:r>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BC2608" w:rsidRPr="00063155" w:rsidRDefault="00F64B41" w:rsidP="009E28DA">
            <w:pPr>
              <w:pStyle w:val="Heading9"/>
              <w:rPr>
                <w:rFonts w:ascii="Calibri" w:hAnsi="Calibri"/>
                <w:b w:val="0"/>
              </w:rPr>
            </w:pPr>
            <w:hyperlink r:id="rId20" w:history="1">
              <w:r w:rsidR="00BC2608" w:rsidRPr="00063155">
                <w:rPr>
                  <w:rStyle w:val="Hyperlink"/>
                  <w:rFonts w:ascii="Calibri" w:hAnsi="Calibri"/>
                  <w:b w:val="0"/>
                  <w:color w:val="auto"/>
                </w:rPr>
                <w:t>www.pemudah.gov.my</w:t>
              </w:r>
            </w:hyperlink>
            <w:r w:rsidR="00BC2608" w:rsidRPr="00063155">
              <w:rPr>
                <w:rFonts w:ascii="Calibri" w:hAnsi="Calibri"/>
                <w:b w:val="0"/>
              </w:rPr>
              <w:t xml:space="preserve">, </w:t>
            </w:r>
          </w:p>
        </w:tc>
        <w:tc>
          <w:tcPr>
            <w:tcW w:w="5670" w:type="dxa"/>
          </w:tcPr>
          <w:p w:rsidR="00BC2608" w:rsidRPr="00063155" w:rsidRDefault="00BC2608" w:rsidP="009E28DA">
            <w:pPr>
              <w:pStyle w:val="Heading9"/>
              <w:rPr>
                <w:rFonts w:ascii="Calibri" w:hAnsi="Calibri"/>
                <w:b w:val="0"/>
              </w:rPr>
            </w:pPr>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BC2608" w:rsidRPr="00063155" w:rsidRDefault="00BC2608" w:rsidP="009E28DA">
            <w:pPr>
              <w:pStyle w:val="Heading9"/>
              <w:rPr>
                <w:rFonts w:ascii="Calibri" w:hAnsi="Calibri"/>
                <w:b w:val="0"/>
              </w:rPr>
            </w:pPr>
            <w:proofErr w:type="spellStart"/>
            <w:r w:rsidRPr="00063155">
              <w:rPr>
                <w:rFonts w:ascii="Calibri" w:hAnsi="Calibri"/>
                <w:b w:val="0"/>
              </w:rPr>
              <w:t>Cik</w:t>
            </w:r>
            <w:proofErr w:type="spellEnd"/>
            <w:r w:rsidRPr="00063155">
              <w:rPr>
                <w:rFonts w:ascii="Calibri" w:hAnsi="Calibri"/>
                <w:b w:val="0"/>
              </w:rPr>
              <w:t xml:space="preserve"> </w:t>
            </w:r>
            <w:proofErr w:type="spellStart"/>
            <w:r w:rsidRPr="00063155">
              <w:rPr>
                <w:rFonts w:ascii="Calibri" w:hAnsi="Calibri"/>
                <w:b w:val="0"/>
              </w:rPr>
              <w:t>Bahria</w:t>
            </w:r>
            <w:proofErr w:type="spellEnd"/>
            <w:r w:rsidRPr="00063155">
              <w:rPr>
                <w:rFonts w:ascii="Calibri" w:hAnsi="Calibri"/>
                <w:b w:val="0"/>
              </w:rPr>
              <w:t xml:space="preserve"> Mohd Tamil – </w:t>
            </w:r>
            <w:hyperlink r:id="rId21" w:history="1">
              <w:r w:rsidRPr="00063155">
                <w:rPr>
                  <w:rStyle w:val="Hyperlink"/>
                  <w:rFonts w:ascii="Calibri" w:hAnsi="Calibri"/>
                  <w:b w:val="0"/>
                  <w:color w:val="auto"/>
                </w:rPr>
                <w:t>allpemudahmiti@miti.gov.my</w:t>
              </w:r>
            </w:hyperlink>
          </w:p>
          <w:p w:rsidR="00BC2608" w:rsidRPr="00063155" w:rsidRDefault="00BC2608" w:rsidP="002C7864">
            <w:pPr>
              <w:rPr>
                <w:rFonts w:asciiTheme="minorHAnsi" w:hAnsiTheme="minorHAnsi"/>
                <w:i/>
                <w:sz w:val="20"/>
              </w:rPr>
            </w:pPr>
            <w:r w:rsidRPr="00063155">
              <w:rPr>
                <w:rFonts w:asciiTheme="minorHAnsi" w:hAnsiTheme="minorHAnsi"/>
                <w:i/>
                <w:sz w:val="20"/>
              </w:rPr>
              <w:t>DIRECTOR OF PEMUDAH SECRETARIAT</w:t>
            </w:r>
          </w:p>
          <w:p w:rsidR="00BC2608" w:rsidRPr="00063155" w:rsidRDefault="00BC2608" w:rsidP="002C7864">
            <w:pPr>
              <w:rPr>
                <w:rFonts w:asciiTheme="minorHAnsi" w:hAnsiTheme="minorHAnsi"/>
                <w:i/>
                <w:sz w:val="20"/>
              </w:rPr>
            </w:pPr>
            <w:r w:rsidRPr="00063155">
              <w:rPr>
                <w:rFonts w:asciiTheme="minorHAnsi" w:hAnsiTheme="minorHAnsi"/>
                <w:i/>
                <w:sz w:val="20"/>
              </w:rPr>
              <w:t>LEVEL 5, BLOCK 10</w:t>
            </w:r>
          </w:p>
          <w:p w:rsidR="00BC2608" w:rsidRPr="00063155" w:rsidRDefault="00BC2608" w:rsidP="002C7864">
            <w:pPr>
              <w:rPr>
                <w:rFonts w:asciiTheme="minorHAnsi" w:hAnsiTheme="minorHAnsi"/>
                <w:i/>
                <w:sz w:val="20"/>
              </w:rPr>
            </w:pPr>
            <w:r w:rsidRPr="00063155">
              <w:rPr>
                <w:rFonts w:asciiTheme="minorHAnsi" w:hAnsiTheme="minorHAnsi"/>
                <w:i/>
                <w:sz w:val="20"/>
              </w:rPr>
              <w:t>GOVERNMENT OFFICES COMPLEX</w:t>
            </w:r>
          </w:p>
          <w:p w:rsidR="00BC2608" w:rsidRPr="00063155" w:rsidRDefault="00BC2608" w:rsidP="002C7864">
            <w:pPr>
              <w:rPr>
                <w:rFonts w:asciiTheme="minorHAnsi" w:hAnsiTheme="minorHAnsi"/>
                <w:i/>
                <w:sz w:val="20"/>
              </w:rPr>
            </w:pPr>
            <w:r w:rsidRPr="00063155">
              <w:rPr>
                <w:rFonts w:asciiTheme="minorHAnsi" w:hAnsiTheme="minorHAnsi"/>
                <w:i/>
                <w:sz w:val="20"/>
              </w:rPr>
              <w:t>JALAN DUTA</w:t>
            </w:r>
          </w:p>
          <w:p w:rsidR="00BC2608" w:rsidRPr="00063155" w:rsidRDefault="00BC2608" w:rsidP="002C7864">
            <w:pPr>
              <w:rPr>
                <w:rFonts w:asciiTheme="minorHAnsi" w:hAnsiTheme="minorHAnsi"/>
                <w:i/>
                <w:sz w:val="20"/>
              </w:rPr>
            </w:pPr>
            <w:r w:rsidRPr="00063155">
              <w:rPr>
                <w:rFonts w:asciiTheme="minorHAnsi" w:hAnsiTheme="minorHAnsi"/>
                <w:i/>
                <w:sz w:val="20"/>
              </w:rPr>
              <w:t>50622 KUALA LUMPUR</w:t>
            </w:r>
          </w:p>
          <w:p w:rsidR="00BC2608" w:rsidRPr="00063155" w:rsidRDefault="00BC2608" w:rsidP="002C7864">
            <w:pPr>
              <w:rPr>
                <w:i/>
              </w:rPr>
            </w:pPr>
            <w:r w:rsidRPr="00063155">
              <w:rPr>
                <w:rFonts w:asciiTheme="minorHAnsi" w:hAnsiTheme="minorHAnsi"/>
                <w:b/>
                <w:i/>
                <w:sz w:val="20"/>
              </w:rPr>
              <w:t>MALAYSIA</w:t>
            </w:r>
          </w:p>
        </w:tc>
        <w:tc>
          <w:tcPr>
            <w:tcW w:w="5670" w:type="dxa"/>
          </w:tcPr>
          <w:p w:rsidR="00BC2608" w:rsidRPr="00063155" w:rsidRDefault="00BC2608" w:rsidP="009E28DA">
            <w:pPr>
              <w:pStyle w:val="Heading9"/>
              <w:rPr>
                <w:rFonts w:ascii="Calibri" w:hAnsi="Calibri"/>
                <w:b w:val="0"/>
              </w:rPr>
            </w:pPr>
          </w:p>
        </w:tc>
      </w:tr>
      <w:tr w:rsidR="00BC2608">
        <w:tc>
          <w:tcPr>
            <w:tcW w:w="3524" w:type="dxa"/>
          </w:tcPr>
          <w:p w:rsidR="00BC2608" w:rsidRPr="00BF37B1" w:rsidRDefault="00BC2608">
            <w:pPr>
              <w:rPr>
                <w:rFonts w:ascii="Calibri" w:hAnsi="Calibri"/>
                <w:b/>
                <w:i/>
                <w:sz w:val="20"/>
              </w:rPr>
            </w:pPr>
            <w:bookmarkStart w:id="33" w:name="Row11"/>
            <w:r w:rsidRPr="00BF37B1">
              <w:rPr>
                <w:rFonts w:ascii="Calibri" w:hAnsi="Calibri"/>
                <w:b/>
                <w:i/>
                <w:sz w:val="20"/>
              </w:rPr>
              <w:t>Implementation of WTO Obligations/ROOs</w:t>
            </w:r>
            <w:bookmarkEnd w:id="33"/>
          </w:p>
          <w:p w:rsidR="00BC2608" w:rsidRPr="00BF37B1" w:rsidRDefault="00BC2608">
            <w:pPr>
              <w:rPr>
                <w:rFonts w:ascii="Calibri" w:hAnsi="Calibri"/>
                <w:b/>
                <w:i/>
                <w:sz w:val="20"/>
              </w:rPr>
            </w:pPr>
          </w:p>
        </w:tc>
        <w:tc>
          <w:tcPr>
            <w:tcW w:w="5387" w:type="dxa"/>
          </w:tcPr>
          <w:p w:rsidR="00BC2608" w:rsidRPr="00063155" w:rsidRDefault="00BC2608" w:rsidP="00B1758B">
            <w:pPr>
              <w:pStyle w:val="ListParagraph"/>
              <w:numPr>
                <w:ilvl w:val="0"/>
                <w:numId w:val="8"/>
              </w:numPr>
              <w:ind w:left="432"/>
              <w:jc w:val="both"/>
              <w:rPr>
                <w:rFonts w:asciiTheme="minorHAnsi" w:hAnsiTheme="minorHAnsi"/>
                <w:i/>
                <w:sz w:val="20"/>
                <w:lang w:val="en-AU"/>
              </w:rPr>
            </w:pPr>
            <w:bookmarkStart w:id="34" w:name="Cell21"/>
            <w:bookmarkEnd w:id="34"/>
            <w:r w:rsidRPr="00063155">
              <w:rPr>
                <w:rFonts w:asciiTheme="minorHAnsi" w:hAnsiTheme="minorHAnsi"/>
                <w:i/>
                <w:sz w:val="20"/>
                <w:lang w:val="en-AU"/>
              </w:rPr>
              <w:t>Status in 2011:</w:t>
            </w:r>
          </w:p>
          <w:p w:rsidR="00BC2608" w:rsidRPr="00063155" w:rsidRDefault="00BC2608" w:rsidP="00B1758B">
            <w:pPr>
              <w:ind w:left="432"/>
              <w:rPr>
                <w:rFonts w:ascii="Calibri" w:hAnsi="Calibri"/>
                <w:i/>
                <w:sz w:val="20"/>
              </w:rPr>
            </w:pPr>
            <w:r w:rsidRPr="00063155">
              <w:rPr>
                <w:rFonts w:asciiTheme="minorHAnsi" w:eastAsia="SimSun" w:hAnsiTheme="minorHAnsi"/>
                <w:i/>
                <w:sz w:val="20"/>
                <w:lang w:eastAsia="zh-CN"/>
              </w:rPr>
              <w:t>WTO/UR Agreements are fully implemented.</w:t>
            </w:r>
          </w:p>
        </w:tc>
        <w:tc>
          <w:tcPr>
            <w:tcW w:w="5670" w:type="dxa"/>
          </w:tcPr>
          <w:p w:rsidR="00BC2608" w:rsidRPr="00063155" w:rsidRDefault="00BC2608" w:rsidP="00B1758B">
            <w:pPr>
              <w:rPr>
                <w:rFonts w:asciiTheme="minorHAnsi" w:hAnsiTheme="minorHAnsi"/>
                <w:i/>
                <w:sz w:val="20"/>
              </w:rPr>
            </w:pPr>
            <w:bookmarkStart w:id="35" w:name="Cell22"/>
            <w:bookmarkEnd w:id="35"/>
            <w:r w:rsidRPr="00063155">
              <w:rPr>
                <w:rFonts w:asciiTheme="minorHAnsi" w:hAnsiTheme="minorHAnsi"/>
                <w:i/>
                <w:sz w:val="20"/>
              </w:rPr>
              <w:t>As further improvement is an on-going process, Malaysia will continue to undertake initiatives such as:</w:t>
            </w:r>
          </w:p>
          <w:p w:rsidR="00BC2608" w:rsidRPr="00063155" w:rsidRDefault="00BC2608" w:rsidP="00B1758B">
            <w:pPr>
              <w:rPr>
                <w:rFonts w:asciiTheme="minorHAnsi" w:hAnsiTheme="minorHAnsi"/>
                <w:i/>
                <w:sz w:val="16"/>
                <w:szCs w:val="16"/>
              </w:rPr>
            </w:pPr>
          </w:p>
          <w:p w:rsidR="00BC2608" w:rsidRPr="00063155" w:rsidRDefault="00BC2608" w:rsidP="00B1758B">
            <w:pPr>
              <w:pStyle w:val="ListParagraph"/>
              <w:numPr>
                <w:ilvl w:val="0"/>
                <w:numId w:val="15"/>
              </w:numPr>
              <w:ind w:left="445" w:hanging="180"/>
              <w:contextualSpacing/>
              <w:rPr>
                <w:rFonts w:asciiTheme="minorHAnsi" w:hAnsiTheme="minorHAnsi"/>
                <w:i/>
                <w:sz w:val="20"/>
              </w:rPr>
            </w:pPr>
            <w:r w:rsidRPr="00063155">
              <w:rPr>
                <w:rFonts w:asciiTheme="minorHAnsi" w:hAnsiTheme="minorHAnsi"/>
                <w:i/>
                <w:sz w:val="20"/>
              </w:rPr>
              <w:t>Increasing binding coverage on tariff from 60% in the UR to 94.5% in the DOHA round;</w:t>
            </w:r>
          </w:p>
          <w:p w:rsidR="00BC2608" w:rsidRPr="00063155" w:rsidRDefault="00BC2608" w:rsidP="00B1758B">
            <w:pPr>
              <w:pStyle w:val="ListParagraph"/>
              <w:numPr>
                <w:ilvl w:val="0"/>
                <w:numId w:val="15"/>
              </w:numPr>
              <w:ind w:left="445" w:hanging="180"/>
              <w:contextualSpacing/>
              <w:rPr>
                <w:rFonts w:asciiTheme="minorHAnsi" w:hAnsiTheme="minorHAnsi"/>
                <w:i/>
                <w:sz w:val="20"/>
              </w:rPr>
            </w:pPr>
            <w:r w:rsidRPr="00063155">
              <w:rPr>
                <w:rFonts w:asciiTheme="minorHAnsi" w:hAnsiTheme="minorHAnsi"/>
                <w:i/>
                <w:sz w:val="20"/>
              </w:rPr>
              <w:t>Participating actively in the discussion on NTBs under the ambit of NAMA negotiations to further improve existing commitments under the TBT Agreement; and</w:t>
            </w:r>
          </w:p>
          <w:p w:rsidR="00BC2608" w:rsidRPr="00063155" w:rsidRDefault="00BC2608" w:rsidP="00B1758B">
            <w:pPr>
              <w:pStyle w:val="ListParagraph"/>
              <w:numPr>
                <w:ilvl w:val="0"/>
                <w:numId w:val="15"/>
              </w:numPr>
              <w:ind w:left="445" w:hanging="180"/>
              <w:contextualSpacing/>
              <w:rPr>
                <w:rFonts w:asciiTheme="minorHAnsi" w:hAnsiTheme="minorHAnsi"/>
                <w:i/>
                <w:sz w:val="20"/>
              </w:rPr>
            </w:pPr>
            <w:proofErr w:type="spellStart"/>
            <w:r w:rsidRPr="00063155">
              <w:rPr>
                <w:rFonts w:asciiTheme="minorHAnsi" w:hAnsiTheme="minorHAnsi"/>
                <w:i/>
                <w:sz w:val="20"/>
              </w:rPr>
              <w:t>Liberalising</w:t>
            </w:r>
            <w:proofErr w:type="spellEnd"/>
            <w:r w:rsidRPr="00063155">
              <w:rPr>
                <w:rFonts w:asciiTheme="minorHAnsi" w:hAnsiTheme="minorHAnsi"/>
                <w:i/>
                <w:sz w:val="20"/>
              </w:rPr>
              <w:t xml:space="preserve"> 17 services sub-sectors gradually to further attract foreign investors.</w:t>
            </w:r>
          </w:p>
          <w:p w:rsidR="00BC2608" w:rsidRPr="00063155" w:rsidRDefault="00BC2608">
            <w:pPr>
              <w:rPr>
                <w:rFonts w:ascii="Calibri" w:hAnsi="Calibri"/>
                <w:i/>
                <w:sz w:val="20"/>
              </w:rPr>
            </w:pPr>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BC2608" w:rsidRPr="00063155" w:rsidRDefault="00F64B41" w:rsidP="009E28DA">
            <w:pPr>
              <w:pStyle w:val="Heading9"/>
              <w:rPr>
                <w:rFonts w:ascii="Calibri" w:hAnsi="Calibri"/>
                <w:b w:val="0"/>
              </w:rPr>
            </w:pPr>
            <w:hyperlink r:id="rId22" w:history="1">
              <w:r w:rsidR="00BC2608" w:rsidRPr="00063155">
                <w:rPr>
                  <w:rStyle w:val="Hyperlink"/>
                  <w:rFonts w:asciiTheme="minorHAnsi" w:hAnsiTheme="minorHAnsi"/>
                  <w:color w:val="auto"/>
                </w:rPr>
                <w:t>http://www.miti.gov.my/cms/content.jsp?id=com.tms.cms.section.Section_f4ca2319-ac1c231a-64e5b200-dd222f22</w:t>
              </w:r>
            </w:hyperlink>
            <w:r w:rsidR="00BC2608" w:rsidRPr="00063155">
              <w:rPr>
                <w:rFonts w:asciiTheme="minorHAnsi" w:hAnsiTheme="minorHAnsi"/>
              </w:rPr>
              <w:t xml:space="preserve">  </w:t>
            </w:r>
          </w:p>
        </w:tc>
        <w:tc>
          <w:tcPr>
            <w:tcW w:w="5670" w:type="dxa"/>
          </w:tcPr>
          <w:p w:rsidR="00BC2608" w:rsidRPr="00063155" w:rsidRDefault="00BC2608" w:rsidP="009E28DA">
            <w:pPr>
              <w:pStyle w:val="Heading9"/>
              <w:rPr>
                <w:rFonts w:ascii="Calibri" w:hAnsi="Calibri"/>
                <w:b w:val="0"/>
              </w:rPr>
            </w:pPr>
          </w:p>
        </w:tc>
      </w:tr>
      <w:tr w:rsidR="00BC2608" w:rsidRPr="00B72FF6">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BC2608" w:rsidRPr="00063155" w:rsidRDefault="00BC2608" w:rsidP="00B1758B">
            <w:pPr>
              <w:pStyle w:val="Heading9"/>
              <w:rPr>
                <w:rFonts w:asciiTheme="minorHAnsi" w:hAnsiTheme="minorHAnsi"/>
                <w:b w:val="0"/>
              </w:rPr>
            </w:pPr>
            <w:r w:rsidRPr="00063155">
              <w:rPr>
                <w:rFonts w:asciiTheme="minorHAnsi" w:hAnsiTheme="minorHAnsi"/>
                <w:b w:val="0"/>
              </w:rPr>
              <w:t>Senior Director, Multilateral Trade and Policy Negotiations Division</w:t>
            </w:r>
          </w:p>
          <w:p w:rsidR="00BC2608" w:rsidRPr="00063155" w:rsidRDefault="00BC2608" w:rsidP="00B1758B">
            <w:pPr>
              <w:pStyle w:val="Heading9"/>
              <w:rPr>
                <w:rFonts w:asciiTheme="minorHAnsi" w:hAnsiTheme="minorHAnsi"/>
                <w:b w:val="0"/>
              </w:rPr>
            </w:pPr>
            <w:r w:rsidRPr="00063155">
              <w:rPr>
                <w:rFonts w:asciiTheme="minorHAnsi" w:hAnsiTheme="minorHAnsi"/>
                <w:b w:val="0"/>
              </w:rPr>
              <w:t xml:space="preserve"> E-mail: allmtpn@miti.gov.my</w:t>
            </w:r>
          </w:p>
          <w:p w:rsidR="00BC2608" w:rsidRPr="00063155" w:rsidRDefault="00BC2608" w:rsidP="00B1758B">
            <w:pPr>
              <w:pStyle w:val="Heading9"/>
              <w:rPr>
                <w:rFonts w:asciiTheme="minorHAnsi" w:hAnsiTheme="minorHAnsi"/>
                <w:b w:val="0"/>
              </w:rPr>
            </w:pPr>
            <w:r w:rsidRPr="00063155">
              <w:rPr>
                <w:rFonts w:asciiTheme="minorHAnsi" w:hAnsiTheme="minorHAnsi"/>
                <w:b w:val="0"/>
              </w:rPr>
              <w:t xml:space="preserve">Tel: 03-6200 0486 </w:t>
            </w:r>
          </w:p>
          <w:p w:rsidR="00BC2608" w:rsidRPr="00063155" w:rsidRDefault="00BC2608" w:rsidP="00B1758B">
            <w:pPr>
              <w:pStyle w:val="Heading9"/>
              <w:rPr>
                <w:rFonts w:ascii="Calibri" w:hAnsi="Calibri"/>
                <w:b w:val="0"/>
              </w:rPr>
            </w:pPr>
            <w:r w:rsidRPr="00063155">
              <w:rPr>
                <w:rFonts w:asciiTheme="minorHAnsi" w:hAnsiTheme="minorHAnsi"/>
                <w:b w:val="0"/>
              </w:rPr>
              <w:t>Fax: 03-6203 1745</w:t>
            </w:r>
          </w:p>
        </w:tc>
        <w:tc>
          <w:tcPr>
            <w:tcW w:w="5670" w:type="dxa"/>
          </w:tcPr>
          <w:p w:rsidR="00BC2608" w:rsidRPr="00063155" w:rsidRDefault="00BC2608" w:rsidP="009E28DA">
            <w:pPr>
              <w:pStyle w:val="Heading9"/>
              <w:rPr>
                <w:rFonts w:ascii="Calibri" w:hAnsi="Calibri"/>
                <w:b w:val="0"/>
              </w:rPr>
            </w:pPr>
          </w:p>
        </w:tc>
      </w:tr>
      <w:tr w:rsidR="00BC2608" w:rsidRPr="00B72FF6">
        <w:tc>
          <w:tcPr>
            <w:tcW w:w="3524" w:type="dxa"/>
          </w:tcPr>
          <w:p w:rsidR="00BC2608" w:rsidRPr="00BF37B1" w:rsidRDefault="00BC2608">
            <w:pPr>
              <w:rPr>
                <w:rFonts w:ascii="Calibri" w:hAnsi="Calibri"/>
                <w:b/>
                <w:i/>
                <w:sz w:val="20"/>
              </w:rPr>
            </w:pPr>
            <w:bookmarkStart w:id="36" w:name="Row12"/>
            <w:r w:rsidRPr="00BF37B1">
              <w:rPr>
                <w:rFonts w:ascii="Calibri" w:hAnsi="Calibri"/>
                <w:b/>
                <w:i/>
                <w:sz w:val="20"/>
              </w:rPr>
              <w:t>Dispute Mediation</w:t>
            </w:r>
            <w:bookmarkEnd w:id="36"/>
          </w:p>
          <w:p w:rsidR="00BC2608" w:rsidRPr="00BF37B1" w:rsidRDefault="00BC2608">
            <w:pPr>
              <w:rPr>
                <w:rFonts w:ascii="Calibri" w:hAnsi="Calibri"/>
                <w:b/>
                <w:i/>
                <w:color w:val="808080"/>
                <w:sz w:val="20"/>
              </w:rPr>
            </w:pPr>
          </w:p>
        </w:tc>
        <w:tc>
          <w:tcPr>
            <w:tcW w:w="5387" w:type="dxa"/>
          </w:tcPr>
          <w:p w:rsidR="00BC2608" w:rsidRPr="00063155" w:rsidRDefault="00BC2608" w:rsidP="001D52CC">
            <w:pPr>
              <w:pStyle w:val="ListParagraph"/>
              <w:numPr>
                <w:ilvl w:val="0"/>
                <w:numId w:val="8"/>
              </w:numPr>
              <w:ind w:left="432"/>
              <w:jc w:val="both"/>
              <w:rPr>
                <w:rFonts w:cs="Arial"/>
                <w:i/>
                <w:sz w:val="20"/>
              </w:rPr>
            </w:pPr>
            <w:bookmarkStart w:id="37" w:name="Cell23"/>
            <w:bookmarkEnd w:id="37"/>
            <w:r w:rsidRPr="00063155">
              <w:rPr>
                <w:rFonts w:asciiTheme="minorHAnsi" w:hAnsiTheme="minorHAnsi"/>
                <w:i/>
                <w:sz w:val="20"/>
                <w:szCs w:val="20"/>
              </w:rPr>
              <w:t>Malaysia</w:t>
            </w:r>
            <w:r w:rsidRPr="00063155">
              <w:rPr>
                <w:rFonts w:cs="Arial"/>
                <w:i/>
                <w:sz w:val="20"/>
              </w:rPr>
              <w:t xml:space="preserve"> enacted new Arbitration Act 2005 [Act 646], which came into force on 15 March 2006.</w:t>
            </w:r>
          </w:p>
          <w:p w:rsidR="00BC2608" w:rsidRPr="00063155" w:rsidRDefault="00BC2608" w:rsidP="001D52CC">
            <w:pPr>
              <w:jc w:val="both"/>
              <w:rPr>
                <w:rFonts w:ascii="Calibri" w:hAnsi="Calibri" w:cs="Arial"/>
                <w:i/>
                <w:sz w:val="20"/>
              </w:rPr>
            </w:pPr>
          </w:p>
          <w:p w:rsidR="00BC2608" w:rsidRPr="00063155" w:rsidRDefault="00BC2608" w:rsidP="001D52CC">
            <w:pPr>
              <w:pStyle w:val="ListParagraph"/>
              <w:numPr>
                <w:ilvl w:val="0"/>
                <w:numId w:val="8"/>
              </w:numPr>
              <w:ind w:left="432"/>
              <w:jc w:val="both"/>
              <w:rPr>
                <w:rFonts w:cs="Arial"/>
                <w:i/>
                <w:sz w:val="20"/>
              </w:rPr>
            </w:pPr>
            <w:r w:rsidRPr="00063155">
              <w:rPr>
                <w:rFonts w:cs="Arial"/>
                <w:i/>
                <w:sz w:val="20"/>
              </w:rPr>
              <w:t xml:space="preserve">It is an Act to reform the law relating to domestic arbitration, provide for international arbitration, the recognition and enforcement of awards and for related matters. </w:t>
            </w:r>
          </w:p>
          <w:p w:rsidR="00BC2608" w:rsidRPr="00063155" w:rsidRDefault="00BC2608" w:rsidP="001D52CC">
            <w:pPr>
              <w:jc w:val="both"/>
              <w:rPr>
                <w:rFonts w:ascii="Calibri" w:hAnsi="Calibri" w:cs="Arial"/>
                <w:i/>
                <w:sz w:val="20"/>
              </w:rPr>
            </w:pPr>
          </w:p>
          <w:p w:rsidR="00BC2608" w:rsidRPr="00063155" w:rsidRDefault="00BC2608" w:rsidP="001D52CC">
            <w:pPr>
              <w:pStyle w:val="ListParagraph"/>
              <w:numPr>
                <w:ilvl w:val="0"/>
                <w:numId w:val="8"/>
              </w:numPr>
              <w:ind w:left="432"/>
              <w:jc w:val="both"/>
              <w:rPr>
                <w:rFonts w:cs="Arial"/>
                <w:i/>
                <w:sz w:val="20"/>
              </w:rPr>
            </w:pPr>
            <w:r w:rsidRPr="00063155">
              <w:rPr>
                <w:rFonts w:cs="Arial"/>
                <w:i/>
                <w:sz w:val="20"/>
              </w:rPr>
              <w:t xml:space="preserve">Malaysia understands that mediation is a form of Alternative Dispute Resolution (ADR, which differs from arbitration method which generally involves a neutral party (mediator) facilitates discussion and assists the disputing parties in reaching a voluntary and mutually resolution. The mediator does not have the authority to make a binding decision </w:t>
            </w:r>
          </w:p>
          <w:p w:rsidR="00BC2608" w:rsidRPr="00063155" w:rsidRDefault="00BC2608" w:rsidP="001D52CC">
            <w:pPr>
              <w:jc w:val="both"/>
              <w:rPr>
                <w:rFonts w:ascii="Calibri" w:hAnsi="Calibri" w:cs="Arial"/>
                <w:i/>
                <w:sz w:val="20"/>
              </w:rPr>
            </w:pPr>
          </w:p>
          <w:p w:rsidR="00BC2608" w:rsidRPr="00063155" w:rsidRDefault="00BC2608" w:rsidP="001D52CC">
            <w:pPr>
              <w:pStyle w:val="ListParagraph"/>
              <w:numPr>
                <w:ilvl w:val="0"/>
                <w:numId w:val="8"/>
              </w:numPr>
              <w:ind w:left="432"/>
              <w:jc w:val="both"/>
              <w:rPr>
                <w:rFonts w:cs="Arial"/>
                <w:i/>
                <w:sz w:val="20"/>
              </w:rPr>
            </w:pPr>
            <w:r w:rsidRPr="00063155">
              <w:rPr>
                <w:rFonts w:cs="Arial"/>
                <w:i/>
                <w:sz w:val="20"/>
              </w:rPr>
              <w:t>There is currently no specific legislation on Mediation in Malaysia. However, currently Court-led Mediation is being implemented administratively by way of Practice Direction No 5 of 2010 on Mediation issued by the Chief Justice of Malaysia.</w:t>
            </w:r>
          </w:p>
          <w:p w:rsidR="00BC2608" w:rsidRPr="00063155" w:rsidRDefault="00BC2608" w:rsidP="001D52CC">
            <w:pPr>
              <w:jc w:val="both"/>
              <w:rPr>
                <w:rFonts w:ascii="Calibri" w:hAnsi="Calibri" w:cs="Arial"/>
                <w:i/>
                <w:sz w:val="20"/>
              </w:rPr>
            </w:pPr>
          </w:p>
          <w:p w:rsidR="00BC2608" w:rsidRPr="00063155" w:rsidRDefault="00BC2608" w:rsidP="001D52CC">
            <w:pPr>
              <w:pStyle w:val="ListParagraph"/>
              <w:numPr>
                <w:ilvl w:val="0"/>
                <w:numId w:val="8"/>
              </w:numPr>
              <w:ind w:left="432"/>
              <w:jc w:val="both"/>
              <w:rPr>
                <w:rFonts w:cs="Arial"/>
                <w:i/>
                <w:sz w:val="20"/>
              </w:rPr>
            </w:pPr>
            <w:r w:rsidRPr="00063155">
              <w:rPr>
                <w:rFonts w:cs="Arial"/>
                <w:i/>
                <w:sz w:val="20"/>
              </w:rPr>
              <w:t xml:space="preserve">The Practice Direction on mediation, which came into effect on 16 Aug 2010.  According to the Practice Direction, all Judges of the High Court and its Deputy Registrar and all Judges of the Sessions Court and Magistrates and their Registrars, may “give such directions that the parties facilitate the settlement of a matter before the court by way of mediation”. </w:t>
            </w:r>
          </w:p>
          <w:p w:rsidR="00BC2608" w:rsidRPr="00063155" w:rsidRDefault="00BC2608" w:rsidP="001D52CC">
            <w:pPr>
              <w:jc w:val="both"/>
              <w:rPr>
                <w:rFonts w:ascii="Calibri" w:hAnsi="Calibri" w:cs="Arial"/>
                <w:i/>
                <w:sz w:val="20"/>
              </w:rPr>
            </w:pPr>
          </w:p>
          <w:p w:rsidR="00BC2608" w:rsidRPr="00063155" w:rsidRDefault="00BC2608" w:rsidP="001D52CC">
            <w:pPr>
              <w:pStyle w:val="ListParagraph"/>
              <w:numPr>
                <w:ilvl w:val="0"/>
                <w:numId w:val="8"/>
              </w:numPr>
              <w:ind w:left="432"/>
              <w:jc w:val="both"/>
              <w:rPr>
                <w:rFonts w:cs="Arial"/>
                <w:i/>
                <w:sz w:val="20"/>
              </w:rPr>
            </w:pPr>
            <w:r w:rsidRPr="00063155">
              <w:rPr>
                <w:rFonts w:cs="Arial"/>
                <w:i/>
                <w:sz w:val="20"/>
              </w:rPr>
              <w:t>The objective of this Practice Direction is to encourage parties to arrive at an amicable settlement without having to go through, or complete, a trial or appeal.  The Practice Direction offers the following modes of referrals to mediation, whereby parties are given the option to select:</w:t>
            </w:r>
          </w:p>
          <w:p w:rsidR="00BC2608" w:rsidRPr="00063155" w:rsidRDefault="00BC2608" w:rsidP="001D52CC">
            <w:pPr>
              <w:jc w:val="both"/>
              <w:rPr>
                <w:rFonts w:ascii="Calibri" w:hAnsi="Calibri" w:cs="Arial"/>
                <w:i/>
                <w:sz w:val="20"/>
              </w:rPr>
            </w:pPr>
          </w:p>
          <w:p w:rsidR="00BC2608" w:rsidRPr="00063155" w:rsidRDefault="00BC2608" w:rsidP="001D52CC">
            <w:pPr>
              <w:ind w:left="432"/>
              <w:jc w:val="both"/>
              <w:rPr>
                <w:rFonts w:ascii="Calibri" w:hAnsi="Calibri" w:cs="Arial"/>
                <w:i/>
                <w:sz w:val="20"/>
              </w:rPr>
            </w:pPr>
            <w:r w:rsidRPr="00063155">
              <w:rPr>
                <w:rFonts w:ascii="Calibri" w:hAnsi="Calibri" w:cs="Arial"/>
                <w:i/>
                <w:sz w:val="20"/>
              </w:rPr>
              <w:t>(</w:t>
            </w:r>
            <w:proofErr w:type="spellStart"/>
            <w:r w:rsidRPr="00063155">
              <w:rPr>
                <w:rFonts w:ascii="Calibri" w:hAnsi="Calibri" w:cs="Arial"/>
                <w:i/>
                <w:sz w:val="20"/>
              </w:rPr>
              <w:t>i</w:t>
            </w:r>
            <w:proofErr w:type="spellEnd"/>
            <w:r w:rsidRPr="00063155">
              <w:rPr>
                <w:rFonts w:ascii="Calibri" w:hAnsi="Calibri" w:cs="Arial"/>
                <w:i/>
                <w:sz w:val="20"/>
              </w:rPr>
              <w:t>)</w:t>
            </w:r>
            <w:r w:rsidRPr="00063155">
              <w:rPr>
                <w:rFonts w:ascii="Calibri" w:hAnsi="Calibri" w:cs="Arial"/>
                <w:i/>
                <w:sz w:val="20"/>
              </w:rPr>
              <w:tab/>
              <w:t>Option A - Judge-led mediation; or</w:t>
            </w:r>
          </w:p>
          <w:p w:rsidR="00BC2608" w:rsidRPr="00063155" w:rsidRDefault="00BC2608" w:rsidP="001D52CC">
            <w:pPr>
              <w:ind w:left="432"/>
              <w:jc w:val="both"/>
              <w:rPr>
                <w:rFonts w:ascii="Calibri" w:hAnsi="Calibri" w:cs="Arial"/>
                <w:i/>
                <w:sz w:val="20"/>
              </w:rPr>
            </w:pPr>
            <w:r w:rsidRPr="00063155">
              <w:rPr>
                <w:rFonts w:ascii="Calibri" w:hAnsi="Calibri" w:cs="Arial"/>
                <w:i/>
                <w:sz w:val="20"/>
              </w:rPr>
              <w:t>(ii)</w:t>
            </w:r>
            <w:r w:rsidRPr="00063155">
              <w:rPr>
                <w:rFonts w:ascii="Calibri" w:hAnsi="Calibri" w:cs="Arial"/>
                <w:i/>
                <w:sz w:val="20"/>
              </w:rPr>
              <w:tab/>
              <w:t>Option B - By a mediator agreeable to by both parties.</w:t>
            </w:r>
          </w:p>
          <w:p w:rsidR="00BC2608" w:rsidRPr="00063155" w:rsidRDefault="00BC2608" w:rsidP="001D52CC">
            <w:pPr>
              <w:jc w:val="both"/>
              <w:rPr>
                <w:rFonts w:ascii="Calibri" w:hAnsi="Calibri" w:cs="Arial"/>
                <w:i/>
                <w:sz w:val="20"/>
              </w:rPr>
            </w:pPr>
          </w:p>
          <w:p w:rsidR="00BC2608" w:rsidRPr="00063155" w:rsidRDefault="00BC2608" w:rsidP="001D52CC">
            <w:pPr>
              <w:pStyle w:val="ListParagraph"/>
              <w:numPr>
                <w:ilvl w:val="0"/>
                <w:numId w:val="8"/>
              </w:numPr>
              <w:ind w:left="432"/>
              <w:jc w:val="both"/>
              <w:rPr>
                <w:rFonts w:cs="Arial"/>
                <w:i/>
                <w:sz w:val="20"/>
              </w:rPr>
            </w:pPr>
            <w:r w:rsidRPr="00063155">
              <w:rPr>
                <w:rFonts w:cs="Arial"/>
                <w:i/>
                <w:sz w:val="20"/>
              </w:rPr>
              <w:t xml:space="preserve">The Malaysian Mediation Centre (MMC) is a body established in the year 1999, under the auspices of the Bar Council of Malaysia. </w:t>
            </w:r>
          </w:p>
          <w:p w:rsidR="00BC2608" w:rsidRPr="00063155" w:rsidRDefault="00BC2608" w:rsidP="001D52CC">
            <w:pPr>
              <w:jc w:val="both"/>
              <w:rPr>
                <w:rFonts w:ascii="Calibri" w:hAnsi="Calibri" w:cs="Arial"/>
                <w:i/>
                <w:sz w:val="20"/>
              </w:rPr>
            </w:pPr>
          </w:p>
          <w:p w:rsidR="00BC2608" w:rsidRPr="00063155" w:rsidRDefault="00BC2608" w:rsidP="001D52CC">
            <w:pPr>
              <w:pStyle w:val="ListParagraph"/>
              <w:numPr>
                <w:ilvl w:val="0"/>
                <w:numId w:val="8"/>
              </w:numPr>
              <w:ind w:left="432"/>
              <w:jc w:val="both"/>
              <w:rPr>
                <w:rFonts w:cs="Arial"/>
                <w:i/>
                <w:sz w:val="20"/>
              </w:rPr>
            </w:pPr>
            <w:r w:rsidRPr="00063155">
              <w:rPr>
                <w:rFonts w:cs="Arial"/>
                <w:i/>
                <w:sz w:val="20"/>
              </w:rPr>
              <w:t>Its objective is to promote mediation as a means of alternative dispute resolution and to provide a proper avenue for successful dispute resolutions. The Alternative Dispute Resolution Committee of the Bar Council is responsible for the proper functioning and implementation of the Centre's objectives.</w:t>
            </w:r>
          </w:p>
          <w:p w:rsidR="00BC2608" w:rsidRPr="00063155" w:rsidRDefault="00BC2608">
            <w:pPr>
              <w:rPr>
                <w:rFonts w:ascii="Calibri" w:hAnsi="Calibri"/>
                <w:i/>
                <w:sz w:val="20"/>
              </w:rPr>
            </w:pPr>
          </w:p>
        </w:tc>
        <w:tc>
          <w:tcPr>
            <w:tcW w:w="5670" w:type="dxa"/>
          </w:tcPr>
          <w:p w:rsidR="00BC2608" w:rsidRPr="00063155" w:rsidRDefault="00BC2608">
            <w:pPr>
              <w:rPr>
                <w:rFonts w:ascii="Calibri" w:hAnsi="Calibri"/>
                <w:i/>
                <w:sz w:val="20"/>
              </w:rPr>
            </w:pPr>
            <w:bookmarkStart w:id="38" w:name="Cell24"/>
            <w:bookmarkEnd w:id="38"/>
          </w:p>
        </w:tc>
      </w:tr>
      <w:tr w:rsidR="00BC2608" w:rsidRPr="0001261C">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BC2608" w:rsidRPr="00063155" w:rsidRDefault="00F64B41" w:rsidP="00DD365C">
            <w:pPr>
              <w:pStyle w:val="Heading9"/>
              <w:rPr>
                <w:rFonts w:asciiTheme="minorHAnsi" w:hAnsiTheme="minorHAnsi"/>
                <w:b w:val="0"/>
              </w:rPr>
            </w:pPr>
            <w:hyperlink r:id="rId23" w:history="1">
              <w:r w:rsidR="00BC2608" w:rsidRPr="00063155">
                <w:rPr>
                  <w:rStyle w:val="Hyperlink"/>
                  <w:rFonts w:asciiTheme="minorHAnsi" w:hAnsiTheme="minorHAnsi"/>
                  <w:b w:val="0"/>
                  <w:color w:val="auto"/>
                </w:rPr>
                <w:t>http://www.malaysianbar.org.my</w:t>
              </w:r>
            </w:hyperlink>
          </w:p>
          <w:p w:rsidR="00BC2608" w:rsidRPr="00063155" w:rsidRDefault="00F64B41" w:rsidP="00DD365C">
            <w:pPr>
              <w:rPr>
                <w:rFonts w:asciiTheme="minorHAnsi" w:hAnsiTheme="minorHAnsi"/>
                <w:i/>
                <w:sz w:val="20"/>
              </w:rPr>
            </w:pPr>
            <w:hyperlink r:id="rId24" w:history="1">
              <w:r w:rsidR="00BC2608" w:rsidRPr="00063155">
                <w:rPr>
                  <w:rStyle w:val="Hyperlink"/>
                  <w:rFonts w:asciiTheme="minorHAnsi" w:hAnsiTheme="minorHAnsi"/>
                  <w:i/>
                  <w:color w:val="auto"/>
                  <w:sz w:val="20"/>
                </w:rPr>
                <w:t>http://www.kehakiman.gov.my/?q=en</w:t>
              </w:r>
            </w:hyperlink>
          </w:p>
        </w:tc>
        <w:tc>
          <w:tcPr>
            <w:tcW w:w="5670" w:type="dxa"/>
          </w:tcPr>
          <w:p w:rsidR="00BC2608" w:rsidRPr="00063155" w:rsidRDefault="00BC2608" w:rsidP="009E28DA">
            <w:pPr>
              <w:pStyle w:val="Heading9"/>
              <w:rPr>
                <w:rFonts w:ascii="Calibri" w:hAnsi="Calibri"/>
                <w:b w:val="0"/>
              </w:rPr>
            </w:pPr>
          </w:p>
        </w:tc>
      </w:tr>
      <w:tr w:rsidR="00BC2608" w:rsidRPr="0001261C">
        <w:tc>
          <w:tcPr>
            <w:tcW w:w="3524" w:type="dxa"/>
          </w:tcPr>
          <w:p w:rsidR="00BC2608" w:rsidRPr="00BF37B1" w:rsidRDefault="00BC2608" w:rsidP="009E28DA">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BC2608" w:rsidRPr="00063155" w:rsidRDefault="00BC2608" w:rsidP="00DD365C">
            <w:pPr>
              <w:pStyle w:val="Heading9"/>
              <w:rPr>
                <w:rFonts w:asciiTheme="minorHAnsi" w:hAnsiTheme="minorHAnsi"/>
                <w:b w:val="0"/>
              </w:rPr>
            </w:pPr>
            <w:proofErr w:type="spellStart"/>
            <w:r w:rsidRPr="00063155">
              <w:rPr>
                <w:rFonts w:asciiTheme="minorHAnsi" w:hAnsiTheme="minorHAnsi"/>
                <w:b w:val="0"/>
              </w:rPr>
              <w:t>Encik</w:t>
            </w:r>
            <w:proofErr w:type="spellEnd"/>
            <w:r w:rsidRPr="00063155">
              <w:rPr>
                <w:rFonts w:asciiTheme="minorHAnsi" w:hAnsiTheme="minorHAnsi"/>
                <w:b w:val="0"/>
              </w:rPr>
              <w:t xml:space="preserve"> Muhammad </w:t>
            </w:r>
            <w:proofErr w:type="spellStart"/>
            <w:r w:rsidRPr="00063155">
              <w:rPr>
                <w:rFonts w:asciiTheme="minorHAnsi" w:hAnsiTheme="minorHAnsi"/>
                <w:b w:val="0"/>
              </w:rPr>
              <w:t>Rushdan</w:t>
            </w:r>
            <w:proofErr w:type="spellEnd"/>
            <w:r w:rsidRPr="00063155">
              <w:rPr>
                <w:rFonts w:asciiTheme="minorHAnsi" w:hAnsiTheme="minorHAnsi"/>
                <w:b w:val="0"/>
              </w:rPr>
              <w:t xml:space="preserve"> bin Mohamed</w:t>
            </w:r>
          </w:p>
          <w:p w:rsidR="00BC2608" w:rsidRPr="00063155" w:rsidRDefault="00BC2608" w:rsidP="00DD365C">
            <w:pPr>
              <w:rPr>
                <w:rFonts w:asciiTheme="minorHAnsi" w:hAnsiTheme="minorHAnsi"/>
                <w:i/>
                <w:sz w:val="20"/>
              </w:rPr>
            </w:pPr>
            <w:r w:rsidRPr="00063155">
              <w:rPr>
                <w:rFonts w:asciiTheme="minorHAnsi" w:hAnsiTheme="minorHAnsi"/>
                <w:i/>
                <w:sz w:val="20"/>
              </w:rPr>
              <w:t>Head of Multilateral Trade, International Arbitration And Disputes Unit.</w:t>
            </w:r>
          </w:p>
          <w:p w:rsidR="00BC2608" w:rsidRPr="00063155" w:rsidRDefault="00BC2608" w:rsidP="00DD365C">
            <w:pPr>
              <w:rPr>
                <w:rFonts w:asciiTheme="minorHAnsi" w:hAnsiTheme="minorHAnsi"/>
                <w:i/>
                <w:sz w:val="20"/>
              </w:rPr>
            </w:pPr>
            <w:r w:rsidRPr="00063155">
              <w:rPr>
                <w:rFonts w:asciiTheme="minorHAnsi" w:hAnsiTheme="minorHAnsi"/>
                <w:i/>
                <w:sz w:val="20"/>
              </w:rPr>
              <w:t>International Affairs Division</w:t>
            </w:r>
          </w:p>
          <w:p w:rsidR="00BC2608" w:rsidRPr="00063155" w:rsidRDefault="00BC2608" w:rsidP="00DD365C">
            <w:pPr>
              <w:rPr>
                <w:rFonts w:asciiTheme="minorHAnsi" w:hAnsiTheme="minorHAnsi"/>
                <w:i/>
                <w:sz w:val="20"/>
              </w:rPr>
            </w:pPr>
            <w:r w:rsidRPr="00063155">
              <w:rPr>
                <w:rFonts w:asciiTheme="minorHAnsi" w:hAnsiTheme="minorHAnsi"/>
                <w:i/>
                <w:sz w:val="20"/>
              </w:rPr>
              <w:t xml:space="preserve">Attorney General’s Chambers, No.45, </w:t>
            </w:r>
            <w:proofErr w:type="spellStart"/>
            <w:r w:rsidRPr="00063155">
              <w:rPr>
                <w:rFonts w:asciiTheme="minorHAnsi" w:hAnsiTheme="minorHAnsi"/>
                <w:i/>
                <w:sz w:val="20"/>
              </w:rPr>
              <w:t>Persiaran</w:t>
            </w:r>
            <w:proofErr w:type="spellEnd"/>
            <w:r w:rsidRPr="00063155">
              <w:rPr>
                <w:rFonts w:asciiTheme="minorHAnsi" w:hAnsiTheme="minorHAnsi"/>
                <w:i/>
                <w:sz w:val="20"/>
              </w:rPr>
              <w:t xml:space="preserve"> </w:t>
            </w:r>
            <w:proofErr w:type="spellStart"/>
            <w:r w:rsidRPr="00063155">
              <w:rPr>
                <w:rFonts w:asciiTheme="minorHAnsi" w:hAnsiTheme="minorHAnsi"/>
                <w:i/>
                <w:sz w:val="20"/>
              </w:rPr>
              <w:t>Perdana</w:t>
            </w:r>
            <w:proofErr w:type="spellEnd"/>
            <w:r w:rsidRPr="00063155">
              <w:rPr>
                <w:rFonts w:asciiTheme="minorHAnsi" w:hAnsiTheme="minorHAnsi"/>
                <w:i/>
                <w:sz w:val="20"/>
              </w:rPr>
              <w:t xml:space="preserve">, </w:t>
            </w:r>
            <w:proofErr w:type="spellStart"/>
            <w:r w:rsidRPr="00063155">
              <w:rPr>
                <w:rFonts w:asciiTheme="minorHAnsi" w:hAnsiTheme="minorHAnsi"/>
                <w:i/>
                <w:sz w:val="20"/>
              </w:rPr>
              <w:t>Presint</w:t>
            </w:r>
            <w:proofErr w:type="spellEnd"/>
            <w:r w:rsidRPr="00063155">
              <w:rPr>
                <w:rFonts w:asciiTheme="minorHAnsi" w:hAnsiTheme="minorHAnsi"/>
                <w:i/>
                <w:sz w:val="20"/>
              </w:rPr>
              <w:t xml:space="preserve"> 4, 62100 </w:t>
            </w:r>
            <w:proofErr w:type="spellStart"/>
            <w:r w:rsidRPr="00063155">
              <w:rPr>
                <w:rFonts w:asciiTheme="minorHAnsi" w:hAnsiTheme="minorHAnsi"/>
                <w:i/>
                <w:sz w:val="20"/>
              </w:rPr>
              <w:t>Putrajaya</w:t>
            </w:r>
            <w:proofErr w:type="spellEnd"/>
            <w:r w:rsidRPr="00063155">
              <w:rPr>
                <w:rFonts w:asciiTheme="minorHAnsi" w:hAnsiTheme="minorHAnsi"/>
                <w:i/>
                <w:sz w:val="20"/>
              </w:rPr>
              <w:t>.</w:t>
            </w:r>
          </w:p>
          <w:p w:rsidR="00BC2608" w:rsidRPr="00063155" w:rsidRDefault="00BC2608" w:rsidP="00DD365C">
            <w:pPr>
              <w:rPr>
                <w:rFonts w:asciiTheme="minorHAnsi" w:hAnsiTheme="minorHAnsi"/>
                <w:i/>
                <w:sz w:val="20"/>
                <w:lang w:val="en-US"/>
              </w:rPr>
            </w:pPr>
            <w:r w:rsidRPr="00063155">
              <w:rPr>
                <w:rFonts w:asciiTheme="minorHAnsi" w:hAnsiTheme="minorHAnsi"/>
                <w:i/>
                <w:sz w:val="20"/>
                <w:lang w:val="en-US"/>
              </w:rPr>
              <w:t>Tel No: 03-8872 2328</w:t>
            </w:r>
          </w:p>
          <w:p w:rsidR="00BC2608" w:rsidRPr="00063155" w:rsidRDefault="00BC2608" w:rsidP="00DD365C">
            <w:pPr>
              <w:rPr>
                <w:rFonts w:asciiTheme="minorHAnsi" w:hAnsiTheme="minorHAnsi"/>
                <w:i/>
                <w:sz w:val="20"/>
                <w:lang w:val="en-US"/>
              </w:rPr>
            </w:pPr>
            <w:r w:rsidRPr="00063155">
              <w:rPr>
                <w:rFonts w:asciiTheme="minorHAnsi" w:hAnsiTheme="minorHAnsi"/>
                <w:i/>
                <w:sz w:val="20"/>
                <w:lang w:val="en-US"/>
              </w:rPr>
              <w:t xml:space="preserve">Email: </w:t>
            </w:r>
            <w:hyperlink r:id="rId25" w:history="1">
              <w:r w:rsidRPr="00063155">
                <w:rPr>
                  <w:rStyle w:val="Hyperlink"/>
                  <w:rFonts w:asciiTheme="minorHAnsi" w:hAnsiTheme="minorHAnsi"/>
                  <w:i/>
                  <w:color w:val="auto"/>
                  <w:sz w:val="20"/>
                  <w:lang w:val="en-US"/>
                </w:rPr>
                <w:t>rushdan@agc.gov.my</w:t>
              </w:r>
            </w:hyperlink>
          </w:p>
          <w:p w:rsidR="00BC2608" w:rsidRPr="00063155" w:rsidRDefault="00BC2608" w:rsidP="009E28DA">
            <w:pPr>
              <w:pStyle w:val="Heading9"/>
              <w:rPr>
                <w:rFonts w:ascii="Calibri" w:hAnsi="Calibri"/>
                <w:b w:val="0"/>
              </w:rPr>
            </w:pPr>
          </w:p>
        </w:tc>
        <w:tc>
          <w:tcPr>
            <w:tcW w:w="5670" w:type="dxa"/>
          </w:tcPr>
          <w:p w:rsidR="00BC2608" w:rsidRPr="00063155" w:rsidRDefault="00BC2608" w:rsidP="009E28DA">
            <w:pPr>
              <w:pStyle w:val="Heading9"/>
              <w:rPr>
                <w:rFonts w:ascii="Calibri" w:hAnsi="Calibri"/>
                <w:b w:val="0"/>
              </w:rPr>
            </w:pPr>
          </w:p>
        </w:tc>
      </w:tr>
      <w:tr w:rsidR="00BC2608">
        <w:tc>
          <w:tcPr>
            <w:tcW w:w="3524" w:type="dxa"/>
          </w:tcPr>
          <w:p w:rsidR="00BC2608" w:rsidRPr="00BF37B1" w:rsidRDefault="00BC2608">
            <w:pPr>
              <w:pStyle w:val="Heading5"/>
              <w:spacing w:after="0"/>
              <w:rPr>
                <w:rFonts w:ascii="Calibri" w:hAnsi="Calibri"/>
                <w:i/>
              </w:rPr>
            </w:pPr>
            <w:bookmarkStart w:id="39" w:name="Row13"/>
            <w:r w:rsidRPr="00BF37B1">
              <w:rPr>
                <w:rFonts w:ascii="Calibri" w:hAnsi="Calibri"/>
                <w:i/>
              </w:rPr>
              <w:t>Mobility of Business People</w:t>
            </w:r>
            <w:bookmarkEnd w:id="39"/>
          </w:p>
          <w:p w:rsidR="00BC2608" w:rsidRPr="00BF37B1" w:rsidRDefault="00BC2608">
            <w:pPr>
              <w:rPr>
                <w:rFonts w:ascii="Calibri" w:hAnsi="Calibri"/>
                <w:sz w:val="20"/>
              </w:rPr>
            </w:pPr>
          </w:p>
        </w:tc>
        <w:tc>
          <w:tcPr>
            <w:tcW w:w="5387" w:type="dxa"/>
          </w:tcPr>
          <w:p w:rsidR="00BC2608" w:rsidRPr="00063155" w:rsidRDefault="00BC2608" w:rsidP="00DD365C">
            <w:pPr>
              <w:rPr>
                <w:rFonts w:ascii="Calibri" w:hAnsi="Calibri" w:cs="Arial"/>
                <w:b/>
                <w:bCs/>
                <w:i/>
                <w:sz w:val="20"/>
                <w:lang w:val="en-US"/>
              </w:rPr>
            </w:pPr>
            <w:bookmarkStart w:id="40" w:name="Cell25"/>
            <w:bookmarkEnd w:id="40"/>
            <w:r w:rsidRPr="00063155">
              <w:rPr>
                <w:rFonts w:ascii="Calibri" w:hAnsi="Calibri" w:cs="Arial"/>
                <w:b/>
                <w:bCs/>
                <w:i/>
                <w:sz w:val="20"/>
                <w:lang w:val="en-US"/>
              </w:rPr>
              <w:t>Malaysia had agreed and adopted  the following ABTC policies in 2011:</w:t>
            </w:r>
          </w:p>
          <w:p w:rsidR="00BC2608" w:rsidRPr="00063155" w:rsidRDefault="00BC2608" w:rsidP="00DD365C">
            <w:pPr>
              <w:rPr>
                <w:rFonts w:ascii="Calibri" w:hAnsi="Calibri" w:cs="Arial"/>
                <w:i/>
                <w:sz w:val="20"/>
                <w:lang w:val="en-MY"/>
              </w:rPr>
            </w:pPr>
          </w:p>
          <w:p w:rsidR="00BC2608" w:rsidRPr="00063155" w:rsidRDefault="00BC2608" w:rsidP="00DD365C">
            <w:pPr>
              <w:numPr>
                <w:ilvl w:val="0"/>
                <w:numId w:val="9"/>
              </w:numPr>
              <w:tabs>
                <w:tab w:val="clear" w:pos="720"/>
                <w:tab w:val="num" w:pos="338"/>
              </w:tabs>
              <w:ind w:hanging="720"/>
              <w:rPr>
                <w:rFonts w:ascii="Calibri" w:hAnsi="Calibri" w:cs="Arial"/>
                <w:i/>
                <w:sz w:val="20"/>
                <w:lang w:val="en-MY"/>
              </w:rPr>
            </w:pPr>
            <w:r w:rsidRPr="00063155">
              <w:rPr>
                <w:rFonts w:ascii="Calibri" w:hAnsi="Calibri" w:cs="Arial"/>
                <w:b/>
                <w:bCs/>
                <w:i/>
                <w:sz w:val="20"/>
                <w:lang w:val="en-US"/>
              </w:rPr>
              <w:t>Extension of ABTC facility</w:t>
            </w:r>
          </w:p>
          <w:p w:rsidR="00BC2608" w:rsidRPr="00063155" w:rsidRDefault="00BC2608" w:rsidP="00DD365C">
            <w:pPr>
              <w:numPr>
                <w:ilvl w:val="1"/>
                <w:numId w:val="9"/>
              </w:numPr>
              <w:tabs>
                <w:tab w:val="clear" w:pos="1440"/>
                <w:tab w:val="num" w:pos="338"/>
                <w:tab w:val="num" w:pos="621"/>
              </w:tabs>
              <w:ind w:left="621" w:hanging="283"/>
              <w:rPr>
                <w:rFonts w:ascii="Calibri" w:hAnsi="Calibri" w:cs="Arial"/>
                <w:i/>
                <w:sz w:val="20"/>
                <w:lang w:val="en-MY"/>
              </w:rPr>
            </w:pPr>
            <w:r w:rsidRPr="00063155">
              <w:rPr>
                <w:rFonts w:ascii="Calibri" w:hAnsi="Calibri" w:cs="Arial"/>
                <w:i/>
                <w:sz w:val="20"/>
                <w:lang w:val="en-US"/>
              </w:rPr>
              <w:t>to transitional APEC members countries such as Unites States of America, Canada and Russia; and</w:t>
            </w:r>
          </w:p>
          <w:p w:rsidR="00BC2608" w:rsidRPr="00063155" w:rsidRDefault="00BC2608" w:rsidP="00DD365C">
            <w:pPr>
              <w:numPr>
                <w:ilvl w:val="1"/>
                <w:numId w:val="9"/>
              </w:numPr>
              <w:tabs>
                <w:tab w:val="clear" w:pos="1440"/>
                <w:tab w:val="num" w:pos="338"/>
                <w:tab w:val="num" w:pos="621"/>
              </w:tabs>
              <w:ind w:left="621" w:hanging="283"/>
              <w:rPr>
                <w:rFonts w:ascii="Calibri" w:hAnsi="Calibri" w:cs="Arial"/>
                <w:i/>
                <w:sz w:val="20"/>
                <w:lang w:val="en-MY"/>
              </w:rPr>
            </w:pPr>
            <w:proofErr w:type="gramStart"/>
            <w:r w:rsidRPr="00063155">
              <w:rPr>
                <w:rFonts w:ascii="Calibri" w:hAnsi="Calibri" w:cs="Arial"/>
                <w:i/>
                <w:sz w:val="20"/>
                <w:lang w:val="en-US"/>
              </w:rPr>
              <w:t>to</w:t>
            </w:r>
            <w:proofErr w:type="gramEnd"/>
            <w:r w:rsidRPr="00063155">
              <w:rPr>
                <w:rFonts w:ascii="Calibri" w:hAnsi="Calibri" w:cs="Arial"/>
                <w:i/>
                <w:sz w:val="20"/>
                <w:lang w:val="en-US"/>
              </w:rPr>
              <w:t xml:space="preserve"> non APEC economies members  with condition approval by all APEC member countries. </w:t>
            </w:r>
          </w:p>
          <w:p w:rsidR="00BC2608" w:rsidRPr="00063155" w:rsidRDefault="00BC2608" w:rsidP="00DD365C">
            <w:pPr>
              <w:tabs>
                <w:tab w:val="num" w:pos="621"/>
              </w:tabs>
              <w:ind w:left="621"/>
              <w:rPr>
                <w:rFonts w:ascii="Calibri" w:hAnsi="Calibri" w:cs="Arial"/>
                <w:i/>
                <w:sz w:val="20"/>
                <w:lang w:val="en-MY"/>
              </w:rPr>
            </w:pPr>
          </w:p>
          <w:p w:rsidR="00BC2608" w:rsidRPr="00063155" w:rsidRDefault="00BC2608" w:rsidP="00DD365C">
            <w:pPr>
              <w:numPr>
                <w:ilvl w:val="0"/>
                <w:numId w:val="9"/>
              </w:numPr>
              <w:tabs>
                <w:tab w:val="clear" w:pos="720"/>
                <w:tab w:val="num" w:pos="338"/>
              </w:tabs>
              <w:ind w:hanging="720"/>
              <w:rPr>
                <w:rFonts w:ascii="Calibri" w:hAnsi="Calibri" w:cs="Arial"/>
                <w:i/>
                <w:sz w:val="20"/>
                <w:lang w:val="en-MY"/>
              </w:rPr>
            </w:pPr>
            <w:r w:rsidRPr="00063155">
              <w:rPr>
                <w:rFonts w:ascii="Calibri" w:hAnsi="Calibri" w:cs="Arial"/>
                <w:b/>
                <w:bCs/>
                <w:i/>
                <w:sz w:val="20"/>
                <w:lang w:val="en-US"/>
              </w:rPr>
              <w:t>New Format of ABTC</w:t>
            </w:r>
          </w:p>
          <w:p w:rsidR="00BC2608" w:rsidRPr="00063155" w:rsidRDefault="00BC2608" w:rsidP="00DD365C">
            <w:pPr>
              <w:numPr>
                <w:ilvl w:val="1"/>
                <w:numId w:val="9"/>
              </w:numPr>
              <w:tabs>
                <w:tab w:val="num" w:pos="338"/>
                <w:tab w:val="num" w:pos="621"/>
              </w:tabs>
              <w:ind w:hanging="1102"/>
              <w:rPr>
                <w:rFonts w:ascii="Calibri" w:hAnsi="Calibri" w:cs="Arial"/>
                <w:b/>
                <w:bCs/>
                <w:i/>
                <w:sz w:val="20"/>
                <w:lang w:val="en-US"/>
              </w:rPr>
            </w:pPr>
            <w:r w:rsidRPr="00063155">
              <w:rPr>
                <w:rFonts w:ascii="Calibri" w:hAnsi="Calibri" w:cs="Arial"/>
                <w:i/>
                <w:sz w:val="20"/>
                <w:lang w:val="en-US"/>
              </w:rPr>
              <w:t>Malaysia had adopted the new format of ABTC.</w:t>
            </w:r>
          </w:p>
          <w:p w:rsidR="00BC2608" w:rsidRPr="00063155" w:rsidRDefault="00BC2608" w:rsidP="00DD365C">
            <w:pPr>
              <w:tabs>
                <w:tab w:val="num" w:pos="1440"/>
              </w:tabs>
              <w:rPr>
                <w:rFonts w:ascii="Calibri" w:hAnsi="Calibri" w:cs="Arial"/>
                <w:b/>
                <w:bCs/>
                <w:i/>
                <w:sz w:val="20"/>
                <w:lang w:val="en-US"/>
              </w:rPr>
            </w:pPr>
          </w:p>
          <w:p w:rsidR="00BC2608" w:rsidRPr="00063155" w:rsidRDefault="00BC2608" w:rsidP="00DD365C">
            <w:pPr>
              <w:numPr>
                <w:ilvl w:val="0"/>
                <w:numId w:val="9"/>
              </w:numPr>
              <w:tabs>
                <w:tab w:val="clear" w:pos="720"/>
                <w:tab w:val="num" w:pos="338"/>
              </w:tabs>
              <w:ind w:hanging="720"/>
              <w:rPr>
                <w:rFonts w:ascii="Calibri" w:hAnsi="Calibri" w:cs="Arial"/>
                <w:i/>
                <w:sz w:val="20"/>
                <w:lang w:val="en-MY"/>
              </w:rPr>
            </w:pPr>
            <w:r w:rsidRPr="00063155">
              <w:rPr>
                <w:rFonts w:ascii="Calibri" w:hAnsi="Calibri" w:cs="Arial"/>
                <w:b/>
                <w:bCs/>
                <w:i/>
                <w:sz w:val="20"/>
                <w:lang w:val="en-US"/>
              </w:rPr>
              <w:t>Extension of ABTC Special Lane</w:t>
            </w:r>
            <w:r w:rsidRPr="00063155">
              <w:rPr>
                <w:rFonts w:ascii="Calibri" w:hAnsi="Calibri" w:cs="Arial"/>
                <w:b/>
                <w:bCs/>
                <w:i/>
                <w:sz w:val="20"/>
                <w:lang w:val="en-MY"/>
              </w:rPr>
              <w:t xml:space="preserve"> </w:t>
            </w:r>
          </w:p>
          <w:p w:rsidR="00BC2608" w:rsidRPr="00063155" w:rsidRDefault="00BC2608" w:rsidP="00DD365C">
            <w:pPr>
              <w:numPr>
                <w:ilvl w:val="2"/>
                <w:numId w:val="9"/>
              </w:numPr>
              <w:tabs>
                <w:tab w:val="clear" w:pos="2160"/>
                <w:tab w:val="num" w:pos="338"/>
                <w:tab w:val="num" w:pos="621"/>
              </w:tabs>
              <w:ind w:left="621" w:hanging="283"/>
              <w:jc w:val="both"/>
              <w:rPr>
                <w:rFonts w:ascii="Calibri" w:hAnsi="Calibri" w:cs="Arial"/>
                <w:i/>
                <w:sz w:val="20"/>
                <w:lang w:val="en-MY"/>
              </w:rPr>
            </w:pPr>
            <w:r w:rsidRPr="00063155">
              <w:rPr>
                <w:rFonts w:ascii="Calibri" w:hAnsi="Calibri" w:cs="Arial"/>
                <w:i/>
                <w:sz w:val="20"/>
                <w:lang w:val="en-US"/>
              </w:rPr>
              <w:t xml:space="preserve">Malaysia had extended its ABTC special lane facility to several other major national checkpoints namely Sultan </w:t>
            </w:r>
            <w:proofErr w:type="spellStart"/>
            <w:r w:rsidRPr="00063155">
              <w:rPr>
                <w:rFonts w:ascii="Calibri" w:hAnsi="Calibri" w:cs="Arial"/>
                <w:i/>
                <w:sz w:val="20"/>
                <w:lang w:val="en-US"/>
              </w:rPr>
              <w:t>Iskandar</w:t>
            </w:r>
            <w:proofErr w:type="spellEnd"/>
            <w:r w:rsidRPr="00063155">
              <w:rPr>
                <w:rFonts w:ascii="Calibri" w:hAnsi="Calibri" w:cs="Arial"/>
                <w:i/>
                <w:sz w:val="20"/>
                <w:lang w:val="en-US"/>
              </w:rPr>
              <w:t xml:space="preserve"> Complex, Sultan Abu </w:t>
            </w:r>
            <w:proofErr w:type="spellStart"/>
            <w:r w:rsidRPr="00063155">
              <w:rPr>
                <w:rFonts w:ascii="Calibri" w:hAnsi="Calibri" w:cs="Arial"/>
                <w:i/>
                <w:sz w:val="20"/>
                <w:lang w:val="en-US"/>
              </w:rPr>
              <w:t>Bakar</w:t>
            </w:r>
            <w:proofErr w:type="spellEnd"/>
            <w:r w:rsidRPr="00063155">
              <w:rPr>
                <w:rFonts w:ascii="Calibri" w:hAnsi="Calibri" w:cs="Arial"/>
                <w:i/>
                <w:sz w:val="20"/>
                <w:lang w:val="en-US"/>
              </w:rPr>
              <w:t xml:space="preserve"> Complex</w:t>
            </w:r>
            <w:proofErr w:type="gramStart"/>
            <w:r w:rsidRPr="00063155">
              <w:rPr>
                <w:rFonts w:ascii="Calibri" w:hAnsi="Calibri" w:cs="Arial"/>
                <w:i/>
                <w:sz w:val="20"/>
                <w:lang w:val="en-US"/>
              </w:rPr>
              <w:t>,  Sungai</w:t>
            </w:r>
            <w:proofErr w:type="gramEnd"/>
            <w:r w:rsidRPr="00063155">
              <w:rPr>
                <w:rFonts w:ascii="Calibri" w:hAnsi="Calibri" w:cs="Arial"/>
                <w:i/>
                <w:sz w:val="20"/>
                <w:lang w:val="en-US"/>
              </w:rPr>
              <w:t xml:space="preserve"> </w:t>
            </w:r>
            <w:proofErr w:type="spellStart"/>
            <w:r w:rsidRPr="00063155">
              <w:rPr>
                <w:rFonts w:ascii="Calibri" w:hAnsi="Calibri" w:cs="Arial"/>
                <w:i/>
                <w:sz w:val="20"/>
                <w:lang w:val="en-US"/>
              </w:rPr>
              <w:t>Tujoh</w:t>
            </w:r>
            <w:proofErr w:type="spellEnd"/>
            <w:r w:rsidRPr="00063155">
              <w:rPr>
                <w:rFonts w:ascii="Calibri" w:hAnsi="Calibri" w:cs="Arial"/>
                <w:i/>
                <w:sz w:val="20"/>
                <w:lang w:val="en-US"/>
              </w:rPr>
              <w:t xml:space="preserve">, </w:t>
            </w:r>
            <w:proofErr w:type="spellStart"/>
            <w:r w:rsidRPr="00063155">
              <w:rPr>
                <w:rFonts w:ascii="Calibri" w:hAnsi="Calibri" w:cs="Arial"/>
                <w:i/>
                <w:sz w:val="20"/>
                <w:lang w:val="en-US"/>
              </w:rPr>
              <w:t>Miri</w:t>
            </w:r>
            <w:proofErr w:type="spellEnd"/>
            <w:r w:rsidRPr="00063155">
              <w:rPr>
                <w:rFonts w:ascii="Calibri" w:hAnsi="Calibri" w:cs="Arial"/>
                <w:i/>
                <w:sz w:val="20"/>
                <w:lang w:val="en-US"/>
              </w:rPr>
              <w:t xml:space="preserve">, Woodland Train Checkpoint, Singapore (WTCP) &amp; Port </w:t>
            </w:r>
            <w:proofErr w:type="spellStart"/>
            <w:r w:rsidRPr="00063155">
              <w:rPr>
                <w:rFonts w:ascii="Calibri" w:hAnsi="Calibri" w:cs="Arial"/>
                <w:i/>
                <w:sz w:val="20"/>
                <w:lang w:val="en-US"/>
              </w:rPr>
              <w:t>Klang</w:t>
            </w:r>
            <w:proofErr w:type="spellEnd"/>
            <w:r w:rsidRPr="00063155">
              <w:rPr>
                <w:rFonts w:ascii="Calibri" w:hAnsi="Calibri" w:cs="Arial"/>
                <w:i/>
                <w:sz w:val="20"/>
                <w:lang w:val="en-US"/>
              </w:rPr>
              <w:t>.</w:t>
            </w:r>
          </w:p>
          <w:p w:rsidR="00BC2608" w:rsidRPr="00063155" w:rsidRDefault="00BC2608" w:rsidP="00DD365C">
            <w:pPr>
              <w:tabs>
                <w:tab w:val="num" w:pos="1440"/>
              </w:tabs>
              <w:rPr>
                <w:rFonts w:ascii="Calibri" w:hAnsi="Calibri" w:cs="Arial"/>
                <w:b/>
                <w:bCs/>
                <w:i/>
                <w:sz w:val="20"/>
                <w:lang w:val="en-US"/>
              </w:rPr>
            </w:pPr>
          </w:p>
          <w:p w:rsidR="00BC2608" w:rsidRPr="00063155" w:rsidRDefault="00BC2608" w:rsidP="00DD365C">
            <w:pPr>
              <w:numPr>
                <w:ilvl w:val="0"/>
                <w:numId w:val="9"/>
              </w:numPr>
              <w:tabs>
                <w:tab w:val="clear" w:pos="720"/>
                <w:tab w:val="num" w:pos="338"/>
              </w:tabs>
              <w:ind w:hanging="720"/>
              <w:rPr>
                <w:rFonts w:ascii="Calibri" w:hAnsi="Calibri" w:cs="Arial"/>
                <w:i/>
                <w:sz w:val="20"/>
                <w:lang w:val="en-MY"/>
              </w:rPr>
            </w:pPr>
            <w:r w:rsidRPr="00063155">
              <w:rPr>
                <w:rFonts w:ascii="Calibri" w:hAnsi="Calibri" w:cs="Arial"/>
                <w:b/>
                <w:bCs/>
                <w:i/>
                <w:sz w:val="20"/>
                <w:lang w:val="en-US"/>
              </w:rPr>
              <w:t>Study Of ABTC Online Application</w:t>
            </w:r>
          </w:p>
          <w:p w:rsidR="00BC2608" w:rsidRPr="00063155" w:rsidRDefault="00BC2608" w:rsidP="00DD365C">
            <w:pPr>
              <w:numPr>
                <w:ilvl w:val="2"/>
                <w:numId w:val="9"/>
              </w:numPr>
              <w:tabs>
                <w:tab w:val="clear" w:pos="2160"/>
                <w:tab w:val="num" w:pos="338"/>
                <w:tab w:val="num" w:pos="621"/>
              </w:tabs>
              <w:ind w:left="621" w:hanging="283"/>
              <w:jc w:val="both"/>
              <w:rPr>
                <w:rFonts w:ascii="Calibri" w:hAnsi="Calibri" w:cs="Arial"/>
                <w:i/>
                <w:sz w:val="20"/>
                <w:lang w:val="en-MY"/>
              </w:rPr>
            </w:pPr>
            <w:r w:rsidRPr="00063155">
              <w:rPr>
                <w:rFonts w:ascii="Calibri" w:hAnsi="Calibri" w:cs="Arial"/>
                <w:i/>
                <w:sz w:val="20"/>
                <w:lang w:val="en-US"/>
              </w:rPr>
              <w:t xml:space="preserve">Malaysia recognized the importance to improve and create and alternative option of its current ABTC application mechanism. In line with immigration vision towards e-services, Malaysia is studying the requirement and implementation of ABTC online application. </w:t>
            </w:r>
          </w:p>
          <w:p w:rsidR="00BC2608" w:rsidRPr="00063155" w:rsidRDefault="00BC2608" w:rsidP="00DD365C">
            <w:pPr>
              <w:rPr>
                <w:rFonts w:ascii="Calibri" w:hAnsi="Calibri"/>
                <w:i/>
                <w:sz w:val="20"/>
              </w:rPr>
            </w:pPr>
          </w:p>
          <w:p w:rsidR="00BC2608" w:rsidRPr="00063155" w:rsidRDefault="00BC2608" w:rsidP="00DD365C">
            <w:pPr>
              <w:rPr>
                <w:rFonts w:ascii="Calibri" w:hAnsi="Calibri"/>
                <w:b/>
                <w:i/>
                <w:sz w:val="20"/>
              </w:rPr>
            </w:pPr>
            <w:r w:rsidRPr="00063155">
              <w:rPr>
                <w:rFonts w:ascii="Calibri" w:hAnsi="Calibri"/>
                <w:b/>
                <w:i/>
                <w:sz w:val="20"/>
              </w:rPr>
              <w:t>Other Policy related to Mobility of Business People</w:t>
            </w:r>
          </w:p>
          <w:p w:rsidR="00BC2608" w:rsidRPr="00063155" w:rsidRDefault="00BC2608" w:rsidP="00DD365C">
            <w:pPr>
              <w:rPr>
                <w:rFonts w:ascii="Calibri" w:hAnsi="Calibri"/>
                <w:i/>
                <w:sz w:val="20"/>
              </w:rPr>
            </w:pPr>
          </w:p>
          <w:p w:rsidR="00BC2608" w:rsidRPr="00063155" w:rsidRDefault="00BC2608" w:rsidP="00DD365C">
            <w:pPr>
              <w:numPr>
                <w:ilvl w:val="0"/>
                <w:numId w:val="10"/>
              </w:numPr>
              <w:ind w:left="338" w:hanging="338"/>
              <w:rPr>
                <w:rFonts w:ascii="Calibri" w:hAnsi="Calibri"/>
                <w:i/>
                <w:sz w:val="20"/>
              </w:rPr>
            </w:pPr>
            <w:r w:rsidRPr="00063155">
              <w:rPr>
                <w:rFonts w:ascii="Calibri" w:hAnsi="Calibri"/>
                <w:i/>
                <w:sz w:val="20"/>
              </w:rPr>
              <w:t xml:space="preserve">I-Pass </w:t>
            </w:r>
          </w:p>
          <w:p w:rsidR="00BC2608" w:rsidRPr="00063155" w:rsidRDefault="00BC2608" w:rsidP="00DD365C">
            <w:pPr>
              <w:ind w:left="338"/>
              <w:rPr>
                <w:rFonts w:ascii="Calibri" w:hAnsi="Calibri"/>
                <w:i/>
                <w:sz w:val="20"/>
              </w:rPr>
            </w:pPr>
          </w:p>
          <w:p w:rsidR="00BC2608" w:rsidRPr="00063155" w:rsidRDefault="00BC2608" w:rsidP="00DD365C">
            <w:pPr>
              <w:ind w:left="338"/>
              <w:jc w:val="both"/>
              <w:rPr>
                <w:rFonts w:ascii="Calibri" w:hAnsi="Calibri"/>
                <w:i/>
                <w:sz w:val="20"/>
              </w:rPr>
            </w:pPr>
            <w:r w:rsidRPr="00063155">
              <w:rPr>
                <w:rFonts w:ascii="Calibri" w:hAnsi="Calibri"/>
                <w:i/>
                <w:sz w:val="20"/>
              </w:rPr>
              <w:t xml:space="preserve">Since </w:t>
            </w:r>
            <w:r w:rsidRPr="00063155">
              <w:rPr>
                <w:rFonts w:ascii="Calibri" w:hAnsi="Calibri"/>
                <w:i/>
                <w:sz w:val="20"/>
                <w:lang w:val="en-US"/>
              </w:rPr>
              <w:t>September 2011, M</w:t>
            </w:r>
            <w:r w:rsidR="00483D61">
              <w:rPr>
                <w:rFonts w:ascii="Calibri" w:hAnsi="Calibri"/>
                <w:i/>
                <w:sz w:val="20"/>
                <w:lang w:val="en-US"/>
              </w:rPr>
              <w:t xml:space="preserve">inistry of </w:t>
            </w:r>
            <w:r w:rsidRPr="00063155">
              <w:rPr>
                <w:rFonts w:ascii="Calibri" w:hAnsi="Calibri"/>
                <w:i/>
                <w:sz w:val="20"/>
                <w:lang w:val="en-US"/>
              </w:rPr>
              <w:t>H</w:t>
            </w:r>
            <w:r w:rsidR="00483D61">
              <w:rPr>
                <w:rFonts w:ascii="Calibri" w:hAnsi="Calibri"/>
                <w:i/>
                <w:sz w:val="20"/>
                <w:lang w:val="en-US"/>
              </w:rPr>
              <w:t xml:space="preserve">ome </w:t>
            </w:r>
            <w:r w:rsidRPr="00063155">
              <w:rPr>
                <w:rFonts w:ascii="Calibri" w:hAnsi="Calibri"/>
                <w:i/>
                <w:sz w:val="20"/>
                <w:lang w:val="en-US"/>
              </w:rPr>
              <w:t>A</w:t>
            </w:r>
            <w:r w:rsidR="00483D61">
              <w:rPr>
                <w:rFonts w:ascii="Calibri" w:hAnsi="Calibri"/>
                <w:i/>
                <w:sz w:val="20"/>
                <w:lang w:val="en-US"/>
              </w:rPr>
              <w:t>ffairs</w:t>
            </w:r>
            <w:r w:rsidRPr="00063155">
              <w:rPr>
                <w:rFonts w:ascii="Calibri" w:hAnsi="Calibri"/>
                <w:i/>
                <w:sz w:val="20"/>
                <w:lang w:val="en-US"/>
              </w:rPr>
              <w:t xml:space="preserve"> has been implementing </w:t>
            </w:r>
            <w:proofErr w:type="spellStart"/>
            <w:r w:rsidRPr="00063155">
              <w:rPr>
                <w:rFonts w:ascii="Calibri" w:hAnsi="Calibri"/>
                <w:i/>
                <w:sz w:val="20"/>
                <w:lang w:val="en-US"/>
              </w:rPr>
              <w:t>i</w:t>
            </w:r>
            <w:proofErr w:type="spellEnd"/>
            <w:r w:rsidRPr="00063155">
              <w:rPr>
                <w:rFonts w:ascii="Calibri" w:hAnsi="Calibri"/>
                <w:i/>
                <w:sz w:val="20"/>
                <w:lang w:val="en-US"/>
              </w:rPr>
              <w:t xml:space="preserve">-Pass in order to replace the earlier version of </w:t>
            </w:r>
            <w:proofErr w:type="spellStart"/>
            <w:r w:rsidRPr="00063155">
              <w:rPr>
                <w:rFonts w:ascii="Calibri" w:hAnsi="Calibri"/>
                <w:i/>
                <w:sz w:val="20"/>
                <w:lang w:val="en-US"/>
              </w:rPr>
              <w:t>i</w:t>
            </w:r>
            <w:proofErr w:type="spellEnd"/>
            <w:r w:rsidRPr="00063155">
              <w:rPr>
                <w:rFonts w:ascii="Calibri" w:hAnsi="Calibri"/>
                <w:i/>
                <w:sz w:val="20"/>
                <w:lang w:val="en-US"/>
              </w:rPr>
              <w:t>-Card. I-Pass is issued for holder of Employment and Resident Pass. Below are the benefits to the pass holders:</w:t>
            </w:r>
          </w:p>
          <w:p w:rsidR="00BC2608" w:rsidRPr="00063155" w:rsidRDefault="00BC2608" w:rsidP="00DD365C">
            <w:pPr>
              <w:jc w:val="both"/>
              <w:rPr>
                <w:rFonts w:ascii="Calibri" w:hAnsi="Calibri"/>
                <w:i/>
                <w:sz w:val="20"/>
                <w:lang w:val="en-US"/>
              </w:rPr>
            </w:pPr>
          </w:p>
          <w:p w:rsidR="00BC2608" w:rsidRPr="00063155" w:rsidRDefault="00BC2608" w:rsidP="00DD365C">
            <w:pPr>
              <w:pStyle w:val="ListParagraph"/>
              <w:numPr>
                <w:ilvl w:val="0"/>
                <w:numId w:val="11"/>
              </w:numPr>
              <w:ind w:left="621" w:hanging="283"/>
              <w:contextualSpacing/>
              <w:jc w:val="both"/>
              <w:rPr>
                <w:i/>
                <w:sz w:val="20"/>
                <w:szCs w:val="20"/>
              </w:rPr>
            </w:pPr>
            <w:r w:rsidRPr="00063155">
              <w:rPr>
                <w:i/>
                <w:sz w:val="20"/>
                <w:szCs w:val="20"/>
              </w:rPr>
              <w:t>exempt from filling in embarkation/ disembarkation card at entry/ exit point; and</w:t>
            </w:r>
          </w:p>
          <w:p w:rsidR="00BC2608" w:rsidRPr="00063155" w:rsidRDefault="00BC2608" w:rsidP="00DD365C">
            <w:pPr>
              <w:pStyle w:val="ListParagraph"/>
              <w:numPr>
                <w:ilvl w:val="0"/>
                <w:numId w:val="11"/>
              </w:numPr>
              <w:ind w:left="621" w:hanging="283"/>
              <w:contextualSpacing/>
              <w:jc w:val="both"/>
              <w:rPr>
                <w:i/>
                <w:sz w:val="20"/>
                <w:szCs w:val="20"/>
              </w:rPr>
            </w:pPr>
            <w:proofErr w:type="gramStart"/>
            <w:r w:rsidRPr="00063155">
              <w:rPr>
                <w:i/>
                <w:sz w:val="20"/>
                <w:szCs w:val="20"/>
              </w:rPr>
              <w:t>function</w:t>
            </w:r>
            <w:proofErr w:type="gramEnd"/>
            <w:r w:rsidRPr="00063155">
              <w:rPr>
                <w:i/>
                <w:sz w:val="20"/>
                <w:szCs w:val="20"/>
              </w:rPr>
              <w:t xml:space="preserve"> as identification for the pass holder to reside temporarily and facilitate movement within Malaysia. In the case of movement within East Malaysia, the holder will still have to carry their travel documentation.</w:t>
            </w:r>
          </w:p>
          <w:p w:rsidR="00BC2608" w:rsidRPr="00063155" w:rsidRDefault="00BC2608" w:rsidP="00DD365C">
            <w:pPr>
              <w:ind w:left="338"/>
              <w:rPr>
                <w:rFonts w:ascii="Calibri" w:hAnsi="Calibri"/>
                <w:i/>
                <w:sz w:val="20"/>
              </w:rPr>
            </w:pPr>
          </w:p>
          <w:p w:rsidR="00BC2608" w:rsidRPr="00063155" w:rsidRDefault="00BC2608" w:rsidP="00DD365C">
            <w:pPr>
              <w:numPr>
                <w:ilvl w:val="0"/>
                <w:numId w:val="10"/>
              </w:numPr>
              <w:ind w:left="338" w:hanging="338"/>
              <w:rPr>
                <w:rFonts w:ascii="Calibri" w:hAnsi="Calibri"/>
                <w:i/>
                <w:sz w:val="20"/>
              </w:rPr>
            </w:pPr>
            <w:r w:rsidRPr="00063155">
              <w:rPr>
                <w:rFonts w:ascii="Calibri" w:hAnsi="Calibri"/>
                <w:i/>
                <w:sz w:val="20"/>
              </w:rPr>
              <w:t>Resident Pass for Talent(RP-T)</w:t>
            </w:r>
          </w:p>
          <w:p w:rsidR="00BC2608" w:rsidRPr="00063155" w:rsidRDefault="00BC2608" w:rsidP="00DD365C">
            <w:pPr>
              <w:ind w:left="338"/>
              <w:rPr>
                <w:rFonts w:ascii="Calibri" w:hAnsi="Calibri"/>
                <w:i/>
                <w:sz w:val="20"/>
              </w:rPr>
            </w:pPr>
          </w:p>
          <w:p w:rsidR="00BC2608" w:rsidRPr="00063155" w:rsidRDefault="00BC2608" w:rsidP="00DD365C">
            <w:pPr>
              <w:pStyle w:val="NormalWeb"/>
              <w:numPr>
                <w:ilvl w:val="0"/>
                <w:numId w:val="12"/>
              </w:numPr>
              <w:spacing w:before="0" w:beforeAutospacing="0" w:after="0" w:afterAutospacing="0"/>
              <w:ind w:left="621" w:hanging="141"/>
              <w:jc w:val="both"/>
              <w:rPr>
                <w:i/>
                <w:lang w:val="en-US"/>
              </w:rPr>
            </w:pPr>
            <w:r w:rsidRPr="00063155">
              <w:rPr>
                <w:rFonts w:ascii="Calibri" w:hAnsi="Calibri"/>
                <w:i/>
                <w:sz w:val="20"/>
                <w:szCs w:val="20"/>
                <w:lang w:val="en-US"/>
              </w:rPr>
              <w:t>The Residence Pass for Talent was introduced in April 2011 by the Malaysian Government. It aims to attract and retain top talent in the country with a range of benefits. The Economic Transformation Programme is anticipated to create more than 3 million jobs in the National Key Economic Areas (NKEAs) by 2020, and the RP-T will be offered to highly qualified expatriates seeking to continue living and working in Malaysia on a long-term basis</w:t>
            </w:r>
            <w:r w:rsidRPr="00063155">
              <w:rPr>
                <w:i/>
                <w:lang w:val="en-US"/>
              </w:rPr>
              <w:t>.</w:t>
            </w:r>
          </w:p>
          <w:p w:rsidR="00BC2608" w:rsidRPr="00063155" w:rsidRDefault="00BC2608">
            <w:pPr>
              <w:rPr>
                <w:rFonts w:ascii="Calibri" w:hAnsi="Calibri"/>
                <w:i/>
                <w:sz w:val="20"/>
              </w:rPr>
            </w:pPr>
          </w:p>
        </w:tc>
        <w:tc>
          <w:tcPr>
            <w:tcW w:w="5670" w:type="dxa"/>
          </w:tcPr>
          <w:p w:rsidR="00BC2608" w:rsidRPr="00063155" w:rsidRDefault="00BC2608" w:rsidP="00DD365C">
            <w:pPr>
              <w:numPr>
                <w:ilvl w:val="0"/>
                <w:numId w:val="13"/>
              </w:numPr>
              <w:ind w:left="479" w:hanging="425"/>
              <w:jc w:val="both"/>
              <w:rPr>
                <w:rFonts w:ascii="Calibri" w:hAnsi="Calibri"/>
                <w:i/>
                <w:sz w:val="20"/>
              </w:rPr>
            </w:pPr>
            <w:bookmarkStart w:id="41" w:name="Cell26"/>
            <w:bookmarkEnd w:id="41"/>
            <w:r w:rsidRPr="00063155">
              <w:rPr>
                <w:rFonts w:ascii="Calibri" w:hAnsi="Calibri" w:cs="Arial"/>
                <w:i/>
                <w:sz w:val="20"/>
              </w:rPr>
              <w:t xml:space="preserve">Malaysia anticipates the </w:t>
            </w:r>
            <w:proofErr w:type="gramStart"/>
            <w:r w:rsidRPr="00063155">
              <w:rPr>
                <w:rFonts w:ascii="Calibri" w:hAnsi="Calibri" w:cs="Arial"/>
                <w:i/>
                <w:sz w:val="20"/>
              </w:rPr>
              <w:t>possibility  to</w:t>
            </w:r>
            <w:proofErr w:type="gramEnd"/>
            <w:r w:rsidRPr="00063155">
              <w:rPr>
                <w:rFonts w:ascii="Calibri" w:hAnsi="Calibri" w:cs="Arial"/>
                <w:i/>
                <w:sz w:val="20"/>
              </w:rPr>
              <w:t xml:space="preserve"> enhance its ABTC services through   an </w:t>
            </w:r>
            <w:proofErr w:type="spellStart"/>
            <w:r w:rsidRPr="00063155">
              <w:rPr>
                <w:rFonts w:ascii="Calibri" w:hAnsi="Calibri" w:cs="Arial"/>
                <w:i/>
                <w:sz w:val="20"/>
              </w:rPr>
              <w:t>autogate</w:t>
            </w:r>
            <w:proofErr w:type="spellEnd"/>
            <w:r w:rsidRPr="00063155">
              <w:rPr>
                <w:rFonts w:ascii="Calibri" w:hAnsi="Calibri" w:cs="Arial"/>
                <w:i/>
                <w:sz w:val="20"/>
              </w:rPr>
              <w:t xml:space="preserve"> facility for ABTC holders to ease and promote seamless immigration clearance at its border checkpoints in the future.</w:t>
            </w:r>
          </w:p>
          <w:p w:rsidR="00BC2608" w:rsidRPr="00063155" w:rsidRDefault="00BC2608" w:rsidP="00DD365C">
            <w:pPr>
              <w:ind w:left="479"/>
              <w:jc w:val="both"/>
              <w:rPr>
                <w:rFonts w:ascii="Calibri" w:hAnsi="Calibri"/>
                <w:i/>
                <w:sz w:val="20"/>
              </w:rPr>
            </w:pPr>
          </w:p>
          <w:p w:rsidR="00BC2608" w:rsidRPr="00063155" w:rsidRDefault="00BC2608" w:rsidP="00DD365C">
            <w:pPr>
              <w:numPr>
                <w:ilvl w:val="0"/>
                <w:numId w:val="13"/>
              </w:numPr>
              <w:ind w:left="479" w:hanging="425"/>
              <w:jc w:val="both"/>
              <w:rPr>
                <w:rFonts w:ascii="Calibri" w:hAnsi="Calibri"/>
                <w:i/>
                <w:sz w:val="20"/>
              </w:rPr>
            </w:pPr>
            <w:r w:rsidRPr="00063155">
              <w:rPr>
                <w:rFonts w:ascii="Calibri" w:hAnsi="Calibri" w:cs="Arial"/>
                <w:i/>
                <w:sz w:val="20"/>
              </w:rPr>
              <w:t>Resident Pass for Talent (RP-T) in the following categories:</w:t>
            </w:r>
          </w:p>
          <w:p w:rsidR="00483D61" w:rsidRDefault="00BC2608" w:rsidP="00483D61">
            <w:pPr>
              <w:numPr>
                <w:ilvl w:val="0"/>
                <w:numId w:val="14"/>
              </w:numPr>
              <w:ind w:left="904" w:hanging="425"/>
              <w:jc w:val="both"/>
              <w:rPr>
                <w:rFonts w:ascii="Calibri" w:hAnsi="Calibri"/>
                <w:i/>
                <w:sz w:val="20"/>
              </w:rPr>
            </w:pPr>
            <w:r w:rsidRPr="00063155">
              <w:rPr>
                <w:rFonts w:ascii="Calibri" w:hAnsi="Calibri"/>
                <w:i/>
                <w:sz w:val="20"/>
              </w:rPr>
              <w:t>Entrepreneur</w:t>
            </w:r>
          </w:p>
          <w:p w:rsidR="00BC2608" w:rsidRPr="00063155" w:rsidRDefault="00BC2608" w:rsidP="00483D61">
            <w:pPr>
              <w:numPr>
                <w:ilvl w:val="0"/>
                <w:numId w:val="14"/>
              </w:numPr>
              <w:ind w:left="904" w:hanging="425"/>
              <w:jc w:val="both"/>
              <w:rPr>
                <w:rFonts w:ascii="Calibri" w:hAnsi="Calibri"/>
                <w:i/>
                <w:sz w:val="20"/>
              </w:rPr>
            </w:pPr>
            <w:r w:rsidRPr="00063155">
              <w:rPr>
                <w:rFonts w:ascii="Calibri" w:hAnsi="Calibri"/>
                <w:i/>
                <w:sz w:val="20"/>
              </w:rPr>
              <w:t>investor</w:t>
            </w:r>
          </w:p>
        </w:tc>
      </w:tr>
      <w:tr w:rsidR="00BC2608" w:rsidRPr="00B72FF6">
        <w:tc>
          <w:tcPr>
            <w:tcW w:w="3524" w:type="dxa"/>
          </w:tcPr>
          <w:p w:rsidR="00BC2608" w:rsidRPr="00BF37B1" w:rsidRDefault="00BC2608">
            <w:pPr>
              <w:pStyle w:val="Heading5"/>
              <w:spacing w:after="0"/>
              <w:rPr>
                <w:rFonts w:ascii="Calibri" w:hAnsi="Calibri"/>
                <w:i/>
                <w:color w:val="808080"/>
              </w:rPr>
            </w:pPr>
            <w:r w:rsidRPr="00BF37B1">
              <w:rPr>
                <w:rFonts w:ascii="Calibri" w:hAnsi="Calibri"/>
                <w:b w:val="0"/>
                <w:i/>
                <w:color w:val="808080"/>
              </w:rPr>
              <w:t xml:space="preserve">Website for further information:  </w:t>
            </w:r>
          </w:p>
        </w:tc>
        <w:tc>
          <w:tcPr>
            <w:tcW w:w="5387" w:type="dxa"/>
          </w:tcPr>
          <w:p w:rsidR="00BC2608" w:rsidRPr="00063155" w:rsidRDefault="00F64B41">
            <w:pPr>
              <w:rPr>
                <w:rFonts w:ascii="Calibri" w:hAnsi="Calibri" w:cs="Arial"/>
                <w:i/>
                <w:sz w:val="20"/>
              </w:rPr>
            </w:pPr>
            <w:hyperlink r:id="rId26" w:history="1">
              <w:r w:rsidR="00BC2608" w:rsidRPr="00063155">
                <w:rPr>
                  <w:rStyle w:val="Hyperlink"/>
                  <w:rFonts w:ascii="Calibri" w:hAnsi="Calibri" w:cs="Arial"/>
                  <w:i/>
                  <w:color w:val="auto"/>
                  <w:sz w:val="20"/>
                </w:rPr>
                <w:t>www.imi.gov.my</w:t>
              </w:r>
            </w:hyperlink>
            <w:r w:rsidR="00BC2608" w:rsidRPr="00063155">
              <w:rPr>
                <w:rFonts w:ascii="Calibri" w:hAnsi="Calibri" w:cs="Arial"/>
                <w:i/>
                <w:sz w:val="20"/>
              </w:rPr>
              <w:t xml:space="preserve">; </w:t>
            </w:r>
            <w:hyperlink r:id="rId27" w:history="1">
              <w:r w:rsidR="00BC2608" w:rsidRPr="00063155">
                <w:rPr>
                  <w:rStyle w:val="Hyperlink"/>
                  <w:rFonts w:ascii="Calibri" w:hAnsi="Calibri" w:cs="Arial"/>
                  <w:i/>
                  <w:color w:val="auto"/>
                  <w:sz w:val="20"/>
                </w:rPr>
                <w:t>http://www.talentcorp.com.my/expatriates/residence-pass/</w:t>
              </w:r>
            </w:hyperlink>
          </w:p>
        </w:tc>
        <w:tc>
          <w:tcPr>
            <w:tcW w:w="5670" w:type="dxa"/>
          </w:tcPr>
          <w:p w:rsidR="00BC2608" w:rsidRPr="00063155" w:rsidRDefault="00BC2608">
            <w:pPr>
              <w:rPr>
                <w:rFonts w:ascii="Calibri" w:hAnsi="Calibri" w:cs="Arial"/>
                <w:i/>
                <w:sz w:val="20"/>
              </w:rPr>
            </w:pPr>
          </w:p>
        </w:tc>
      </w:tr>
      <w:tr w:rsidR="00BC2608" w:rsidRPr="00B72FF6">
        <w:tc>
          <w:tcPr>
            <w:tcW w:w="3524" w:type="dxa"/>
          </w:tcPr>
          <w:p w:rsidR="00BC2608" w:rsidRPr="00BF37B1" w:rsidRDefault="00BC2608">
            <w:pPr>
              <w:pStyle w:val="Heading5"/>
              <w:spacing w:after="0"/>
              <w:rPr>
                <w:rFonts w:ascii="Calibri" w:hAnsi="Calibri"/>
                <w:i/>
                <w:color w:val="808080"/>
              </w:rPr>
            </w:pPr>
            <w:r w:rsidRPr="00BF37B1">
              <w:rPr>
                <w:rFonts w:ascii="Calibri" w:hAnsi="Calibri"/>
                <w:b w:val="0"/>
                <w:i/>
                <w:color w:val="808080"/>
              </w:rPr>
              <w:t>Contact point for further details:</w:t>
            </w:r>
          </w:p>
        </w:tc>
        <w:tc>
          <w:tcPr>
            <w:tcW w:w="5387" w:type="dxa"/>
          </w:tcPr>
          <w:p w:rsidR="00BC2608" w:rsidRPr="00063155" w:rsidRDefault="00BC2608" w:rsidP="00DD365C">
            <w:pPr>
              <w:rPr>
                <w:rFonts w:ascii="Calibri" w:hAnsi="Calibri" w:cs="Arial"/>
                <w:i/>
                <w:sz w:val="20"/>
              </w:rPr>
            </w:pPr>
            <w:r w:rsidRPr="00063155">
              <w:rPr>
                <w:rFonts w:ascii="Calibri" w:hAnsi="Calibri" w:cs="Arial"/>
                <w:i/>
                <w:sz w:val="20"/>
              </w:rPr>
              <w:t xml:space="preserve">Mr. </w:t>
            </w:r>
            <w:proofErr w:type="spellStart"/>
            <w:r w:rsidRPr="00063155">
              <w:rPr>
                <w:rFonts w:ascii="Calibri" w:hAnsi="Calibri" w:cs="Arial"/>
                <w:i/>
                <w:sz w:val="20"/>
              </w:rPr>
              <w:t>Azman</w:t>
            </w:r>
            <w:proofErr w:type="spellEnd"/>
            <w:r w:rsidRPr="00063155">
              <w:rPr>
                <w:rFonts w:ascii="Calibri" w:hAnsi="Calibri" w:cs="Arial"/>
                <w:i/>
                <w:sz w:val="20"/>
              </w:rPr>
              <w:t xml:space="preserve"> </w:t>
            </w:r>
            <w:proofErr w:type="spellStart"/>
            <w:r w:rsidRPr="00063155">
              <w:rPr>
                <w:rFonts w:ascii="Calibri" w:hAnsi="Calibri" w:cs="Arial"/>
                <w:i/>
                <w:sz w:val="20"/>
              </w:rPr>
              <w:t>Azra</w:t>
            </w:r>
            <w:proofErr w:type="spellEnd"/>
            <w:r w:rsidRPr="00063155">
              <w:rPr>
                <w:rFonts w:ascii="Calibri" w:hAnsi="Calibri" w:cs="Arial"/>
                <w:i/>
                <w:sz w:val="20"/>
              </w:rPr>
              <w:t xml:space="preserve"> bin Abdul </w:t>
            </w:r>
            <w:proofErr w:type="spellStart"/>
            <w:r w:rsidRPr="00063155">
              <w:rPr>
                <w:rFonts w:ascii="Calibri" w:hAnsi="Calibri" w:cs="Arial"/>
                <w:i/>
                <w:sz w:val="20"/>
              </w:rPr>
              <w:t>Rahman</w:t>
            </w:r>
            <w:proofErr w:type="spellEnd"/>
            <w:r w:rsidRPr="00063155">
              <w:rPr>
                <w:rFonts w:ascii="Calibri" w:hAnsi="Calibri" w:cs="Arial"/>
                <w:i/>
                <w:sz w:val="20"/>
              </w:rPr>
              <w:t xml:space="preserve"> +603 88863308,  </w:t>
            </w:r>
            <w:hyperlink r:id="rId28" w:history="1">
              <w:r w:rsidRPr="00063155">
                <w:rPr>
                  <w:rStyle w:val="Hyperlink"/>
                  <w:rFonts w:ascii="Calibri" w:hAnsi="Calibri" w:cs="Arial"/>
                  <w:i/>
                  <w:color w:val="auto"/>
                  <w:sz w:val="20"/>
                </w:rPr>
                <w:t>azman_azra@moha.gov.my</w:t>
              </w:r>
            </w:hyperlink>
          </w:p>
          <w:p w:rsidR="00BC2608" w:rsidRPr="00063155" w:rsidRDefault="00BC2608" w:rsidP="00DD365C">
            <w:pPr>
              <w:rPr>
                <w:rFonts w:ascii="Calibri" w:hAnsi="Calibri" w:cs="Arial"/>
                <w:i/>
                <w:sz w:val="20"/>
              </w:rPr>
            </w:pPr>
          </w:p>
          <w:p w:rsidR="00BC2608" w:rsidRPr="00063155" w:rsidRDefault="00BC2608">
            <w:pPr>
              <w:rPr>
                <w:rFonts w:ascii="Calibri" w:hAnsi="Calibri" w:cs="Arial"/>
                <w:i/>
                <w:sz w:val="20"/>
              </w:rPr>
            </w:pPr>
            <w:r w:rsidRPr="00063155">
              <w:rPr>
                <w:rFonts w:ascii="Calibri" w:hAnsi="Calibri" w:cs="Arial"/>
                <w:i/>
                <w:sz w:val="20"/>
              </w:rPr>
              <w:t xml:space="preserve">Mr. Mohd </w:t>
            </w:r>
            <w:proofErr w:type="spellStart"/>
            <w:r w:rsidRPr="00063155">
              <w:rPr>
                <w:rFonts w:ascii="Calibri" w:hAnsi="Calibri" w:cs="Arial"/>
                <w:i/>
                <w:sz w:val="20"/>
              </w:rPr>
              <w:t>Fardhi</w:t>
            </w:r>
            <w:proofErr w:type="spellEnd"/>
            <w:r w:rsidRPr="00063155">
              <w:rPr>
                <w:rFonts w:ascii="Calibri" w:hAnsi="Calibri" w:cs="Arial"/>
                <w:i/>
                <w:sz w:val="20"/>
              </w:rPr>
              <w:t xml:space="preserve"> bin Ahmad - +603 88863307, fardhi@moha.gov.my</w:t>
            </w:r>
          </w:p>
        </w:tc>
        <w:tc>
          <w:tcPr>
            <w:tcW w:w="5670" w:type="dxa"/>
          </w:tcPr>
          <w:p w:rsidR="00BC2608" w:rsidRPr="00063155" w:rsidRDefault="00BC2608">
            <w:pPr>
              <w:rPr>
                <w:rFonts w:ascii="Calibri" w:hAnsi="Calibri" w:cs="Arial"/>
                <w:i/>
                <w:sz w:val="20"/>
              </w:rPr>
            </w:pPr>
          </w:p>
        </w:tc>
      </w:tr>
      <w:tr w:rsidR="00BC2608">
        <w:tc>
          <w:tcPr>
            <w:tcW w:w="3524" w:type="dxa"/>
          </w:tcPr>
          <w:p w:rsidR="00BC2608" w:rsidRPr="00BF37B1" w:rsidRDefault="00BC2608" w:rsidP="005C5ACF">
            <w:pPr>
              <w:pStyle w:val="Heading5"/>
              <w:spacing w:after="0"/>
              <w:rPr>
                <w:rFonts w:ascii="Calibri" w:hAnsi="Calibri"/>
                <w:i/>
              </w:rPr>
            </w:pPr>
            <w:r w:rsidRPr="00BF37B1">
              <w:rPr>
                <w:rFonts w:ascii="Calibri" w:hAnsi="Calibri"/>
                <w:i/>
              </w:rPr>
              <w:t>Official websites that gather economies’ information</w:t>
            </w:r>
          </w:p>
          <w:p w:rsidR="00BC2608" w:rsidRPr="00BF37B1" w:rsidRDefault="00BC2608">
            <w:pPr>
              <w:rPr>
                <w:rFonts w:ascii="Calibri" w:hAnsi="Calibri"/>
                <w:b/>
                <w:i/>
                <w:sz w:val="20"/>
              </w:rPr>
            </w:pPr>
          </w:p>
        </w:tc>
        <w:tc>
          <w:tcPr>
            <w:tcW w:w="5387" w:type="dxa"/>
          </w:tcPr>
          <w:p w:rsidR="00BC2608" w:rsidRDefault="00F65CE5" w:rsidP="00860BC4">
            <w:pPr>
              <w:numPr>
                <w:ilvl w:val="1"/>
                <w:numId w:val="9"/>
              </w:numPr>
              <w:tabs>
                <w:tab w:val="clear" w:pos="1440"/>
                <w:tab w:val="num" w:pos="338"/>
              </w:tabs>
              <w:ind w:left="338" w:hanging="338"/>
              <w:rPr>
                <w:rFonts w:ascii="Calibri" w:hAnsi="Calibri" w:cs="Arial"/>
                <w:i/>
                <w:sz w:val="20"/>
              </w:rPr>
            </w:pPr>
            <w:bookmarkStart w:id="42" w:name="Cell27"/>
            <w:bookmarkEnd w:id="42"/>
            <w:r>
              <w:rPr>
                <w:rFonts w:ascii="Calibri" w:hAnsi="Calibri" w:cs="Arial"/>
                <w:i/>
                <w:sz w:val="20"/>
                <w:lang w:val="en-US"/>
              </w:rPr>
              <w:t>Generally, t</w:t>
            </w:r>
            <w:r w:rsidR="00860BC4" w:rsidRPr="00860BC4">
              <w:rPr>
                <w:rFonts w:ascii="Calibri" w:hAnsi="Calibri" w:cs="Arial"/>
                <w:i/>
                <w:sz w:val="20"/>
                <w:lang w:val="en-US"/>
              </w:rPr>
              <w:t>he</w:t>
            </w:r>
            <w:r w:rsidR="00860BC4">
              <w:rPr>
                <w:rFonts w:ascii="Calibri" w:hAnsi="Calibri" w:cs="Arial"/>
                <w:i/>
                <w:sz w:val="20"/>
              </w:rPr>
              <w:t xml:space="preserve"> Ministry of International Trade and Industry</w:t>
            </w:r>
            <w:r>
              <w:rPr>
                <w:rFonts w:ascii="Calibri" w:hAnsi="Calibri" w:cs="Arial"/>
                <w:i/>
                <w:sz w:val="20"/>
              </w:rPr>
              <w:t>’s</w:t>
            </w:r>
            <w:r w:rsidR="00860BC4">
              <w:rPr>
                <w:rFonts w:ascii="Calibri" w:hAnsi="Calibri" w:cs="Arial"/>
                <w:i/>
                <w:sz w:val="20"/>
              </w:rPr>
              <w:t xml:space="preserve"> </w:t>
            </w:r>
            <w:r>
              <w:rPr>
                <w:rFonts w:ascii="Calibri" w:hAnsi="Calibri" w:cs="Arial"/>
                <w:i/>
                <w:sz w:val="20"/>
              </w:rPr>
              <w:t xml:space="preserve">website </w:t>
            </w:r>
            <w:r w:rsidR="00860BC4">
              <w:rPr>
                <w:rFonts w:ascii="Calibri" w:hAnsi="Calibri" w:cs="Arial"/>
                <w:i/>
                <w:sz w:val="20"/>
              </w:rPr>
              <w:t xml:space="preserve">has </w:t>
            </w:r>
            <w:proofErr w:type="spellStart"/>
            <w:r w:rsidR="00860BC4">
              <w:rPr>
                <w:rFonts w:ascii="Calibri" w:hAnsi="Calibri" w:cs="Arial"/>
                <w:i/>
                <w:sz w:val="20"/>
              </w:rPr>
              <w:t>sufficienct</w:t>
            </w:r>
            <w:proofErr w:type="spellEnd"/>
            <w:r w:rsidR="00860BC4">
              <w:rPr>
                <w:rFonts w:ascii="Calibri" w:hAnsi="Calibri" w:cs="Arial"/>
                <w:i/>
                <w:sz w:val="20"/>
              </w:rPr>
              <w:t xml:space="preserve"> information with links p</w:t>
            </w:r>
            <w:r>
              <w:rPr>
                <w:rFonts w:ascii="Calibri" w:hAnsi="Calibri" w:cs="Arial"/>
                <w:i/>
                <w:sz w:val="20"/>
              </w:rPr>
              <w:t>rovided to the other Ministries should further information be required.</w:t>
            </w:r>
          </w:p>
          <w:p w:rsidR="00860BC4" w:rsidRPr="00F65CE5" w:rsidRDefault="00F65CE5" w:rsidP="00F65CE5">
            <w:pPr>
              <w:numPr>
                <w:ilvl w:val="1"/>
                <w:numId w:val="9"/>
              </w:numPr>
              <w:tabs>
                <w:tab w:val="clear" w:pos="1440"/>
                <w:tab w:val="num" w:pos="338"/>
              </w:tabs>
              <w:ind w:left="338" w:hanging="338"/>
              <w:rPr>
                <w:rFonts w:ascii="Calibri" w:hAnsi="Calibri"/>
                <w:i/>
                <w:sz w:val="20"/>
              </w:rPr>
            </w:pPr>
            <w:r w:rsidRPr="00F65CE5">
              <w:rPr>
                <w:rFonts w:ascii="Calibri" w:hAnsi="Calibri" w:cs="Arial"/>
                <w:i/>
                <w:sz w:val="20"/>
              </w:rPr>
              <w:t xml:space="preserve">The Malaysian Government also applies the “No Wrong Door Policy” as such any query will be answered by respective Ministry and </w:t>
            </w:r>
            <w:r>
              <w:rPr>
                <w:rFonts w:ascii="Calibri" w:hAnsi="Calibri" w:cs="Arial"/>
                <w:i/>
                <w:sz w:val="20"/>
              </w:rPr>
              <w:t>query</w:t>
            </w:r>
            <w:r w:rsidRPr="00F65CE5">
              <w:rPr>
                <w:rFonts w:ascii="Calibri" w:hAnsi="Calibri" w:cs="Arial"/>
                <w:i/>
                <w:sz w:val="20"/>
              </w:rPr>
              <w:t xml:space="preserve"> beyond its jurisdiction, </w:t>
            </w:r>
            <w:r>
              <w:rPr>
                <w:rFonts w:ascii="Calibri" w:hAnsi="Calibri" w:cs="Arial"/>
                <w:i/>
                <w:sz w:val="20"/>
              </w:rPr>
              <w:t>it</w:t>
            </w:r>
            <w:r w:rsidRPr="00F65CE5">
              <w:rPr>
                <w:rFonts w:ascii="Calibri" w:hAnsi="Calibri" w:cs="Arial"/>
                <w:i/>
                <w:sz w:val="20"/>
              </w:rPr>
              <w:t xml:space="preserve"> will </w:t>
            </w:r>
            <w:proofErr w:type="spellStart"/>
            <w:r w:rsidRPr="00F65CE5">
              <w:rPr>
                <w:rFonts w:ascii="Calibri" w:hAnsi="Calibri" w:cs="Arial"/>
                <w:i/>
                <w:sz w:val="20"/>
              </w:rPr>
              <w:t>than</w:t>
            </w:r>
            <w:proofErr w:type="spellEnd"/>
            <w:r w:rsidRPr="00F65CE5">
              <w:rPr>
                <w:rFonts w:ascii="Calibri" w:hAnsi="Calibri" w:cs="Arial"/>
                <w:i/>
                <w:sz w:val="20"/>
              </w:rPr>
              <w:t xml:space="preserve"> be forwarded to the relevant Ministry and Agency.</w:t>
            </w:r>
          </w:p>
          <w:p w:rsidR="00F65CE5" w:rsidRPr="00063155" w:rsidRDefault="00F65CE5" w:rsidP="008C7A76">
            <w:pPr>
              <w:numPr>
                <w:ilvl w:val="1"/>
                <w:numId w:val="9"/>
              </w:numPr>
              <w:tabs>
                <w:tab w:val="clear" w:pos="1440"/>
                <w:tab w:val="num" w:pos="338"/>
              </w:tabs>
              <w:ind w:left="338" w:hanging="338"/>
              <w:rPr>
                <w:rFonts w:ascii="Calibri" w:hAnsi="Calibri"/>
                <w:i/>
                <w:sz w:val="20"/>
              </w:rPr>
            </w:pPr>
            <w:r>
              <w:rPr>
                <w:rFonts w:ascii="Calibri" w:hAnsi="Calibri" w:cs="Arial"/>
                <w:i/>
                <w:sz w:val="20"/>
              </w:rPr>
              <w:t xml:space="preserve">Alternatively, all information related to the Malaysian Government and machinery is also available at the </w:t>
            </w:r>
            <w:hyperlink r:id="rId29" w:history="1">
              <w:r w:rsidRPr="00D23E8C">
                <w:rPr>
                  <w:rStyle w:val="Hyperlink"/>
                  <w:rFonts w:ascii="Calibri" w:hAnsi="Calibri" w:cs="Arial"/>
                  <w:i/>
                  <w:sz w:val="20"/>
                </w:rPr>
                <w:t>www.malaysia.gov.my</w:t>
              </w:r>
            </w:hyperlink>
            <w:r>
              <w:rPr>
                <w:rFonts w:ascii="Calibri" w:hAnsi="Calibri" w:cs="Arial"/>
                <w:i/>
                <w:sz w:val="20"/>
              </w:rPr>
              <w:t xml:space="preserve">. </w:t>
            </w:r>
            <w:r w:rsidR="008C7A76">
              <w:rPr>
                <w:rFonts w:ascii="Calibri" w:hAnsi="Calibri" w:cs="Arial"/>
                <w:i/>
                <w:sz w:val="20"/>
              </w:rPr>
              <w:t>This website provides a single point access and gateway to multiple Government online services as well as information on the Government’s machinery.</w:t>
            </w:r>
          </w:p>
        </w:tc>
        <w:tc>
          <w:tcPr>
            <w:tcW w:w="5670" w:type="dxa"/>
          </w:tcPr>
          <w:p w:rsidR="00BC2608" w:rsidRPr="00063155" w:rsidRDefault="00BC2608">
            <w:pPr>
              <w:rPr>
                <w:rFonts w:ascii="Calibri" w:hAnsi="Calibri"/>
                <w:i/>
                <w:sz w:val="20"/>
              </w:rPr>
            </w:pPr>
            <w:bookmarkStart w:id="43" w:name="Cell28"/>
            <w:bookmarkEnd w:id="43"/>
            <w:r w:rsidRPr="00063155">
              <w:rPr>
                <w:rFonts w:ascii="Calibri" w:hAnsi="Calibri" w:cs="Arial"/>
                <w:i/>
                <w:sz w:val="20"/>
              </w:rPr>
              <w:t>Provide brief points only</w:t>
            </w:r>
          </w:p>
        </w:tc>
      </w:tr>
      <w:tr w:rsidR="00BC2608" w:rsidRPr="00B72FF6">
        <w:tc>
          <w:tcPr>
            <w:tcW w:w="3524" w:type="dxa"/>
          </w:tcPr>
          <w:p w:rsidR="00BC2608" w:rsidRPr="00BF37B1" w:rsidRDefault="00BC2608" w:rsidP="0001261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BC2608" w:rsidRPr="00063155" w:rsidRDefault="00F64B41" w:rsidP="0001261C">
            <w:pPr>
              <w:pStyle w:val="Heading9"/>
              <w:rPr>
                <w:rFonts w:ascii="Calibri" w:hAnsi="Calibri"/>
                <w:b w:val="0"/>
              </w:rPr>
            </w:pPr>
            <w:hyperlink r:id="rId30" w:history="1">
              <w:r w:rsidR="00BC2608" w:rsidRPr="00063155">
                <w:rPr>
                  <w:rStyle w:val="Hyperlink"/>
                  <w:rFonts w:ascii="Calibri" w:hAnsi="Calibri"/>
                  <w:b w:val="0"/>
                  <w:color w:val="auto"/>
                </w:rPr>
                <w:t>www.miti.gov.my</w:t>
              </w:r>
            </w:hyperlink>
            <w:proofErr w:type="gramStart"/>
            <w:r w:rsidR="00BC2608" w:rsidRPr="00063155">
              <w:rPr>
                <w:rFonts w:ascii="Calibri" w:hAnsi="Calibri"/>
                <w:b w:val="0"/>
              </w:rPr>
              <w:t>,</w:t>
            </w:r>
            <w:r w:rsidR="00F65CE5">
              <w:rPr>
                <w:rFonts w:ascii="Calibri" w:hAnsi="Calibri"/>
                <w:b w:val="0"/>
              </w:rPr>
              <w:t>www.malaysia.gov.my</w:t>
            </w:r>
            <w:proofErr w:type="gramEnd"/>
          </w:p>
        </w:tc>
        <w:tc>
          <w:tcPr>
            <w:tcW w:w="5670" w:type="dxa"/>
          </w:tcPr>
          <w:p w:rsidR="00BC2608" w:rsidRPr="00063155" w:rsidRDefault="00BC2608" w:rsidP="0001261C">
            <w:pPr>
              <w:pStyle w:val="Heading9"/>
              <w:rPr>
                <w:rFonts w:ascii="Calibri" w:hAnsi="Calibri"/>
                <w:b w:val="0"/>
              </w:rPr>
            </w:pPr>
          </w:p>
        </w:tc>
      </w:tr>
      <w:tr w:rsidR="00BC2608" w:rsidRPr="00B72FF6">
        <w:tc>
          <w:tcPr>
            <w:tcW w:w="3524" w:type="dxa"/>
          </w:tcPr>
          <w:p w:rsidR="00BC2608" w:rsidRPr="00BF37B1" w:rsidRDefault="00BC2608" w:rsidP="0001261C">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BC2608" w:rsidRPr="00063155" w:rsidRDefault="00BC2608" w:rsidP="0001261C">
            <w:pPr>
              <w:pStyle w:val="Heading9"/>
              <w:rPr>
                <w:rFonts w:ascii="Calibri" w:hAnsi="Calibri"/>
                <w:b w:val="0"/>
              </w:rPr>
            </w:pPr>
            <w:r w:rsidRPr="00063155">
              <w:rPr>
                <w:rFonts w:ascii="Calibri" w:hAnsi="Calibri"/>
                <w:b w:val="0"/>
              </w:rPr>
              <w:t>apecmiti@miti.gov.my</w:t>
            </w:r>
          </w:p>
        </w:tc>
        <w:tc>
          <w:tcPr>
            <w:tcW w:w="5670" w:type="dxa"/>
          </w:tcPr>
          <w:p w:rsidR="00BC2608" w:rsidRPr="00063155" w:rsidRDefault="00BC2608" w:rsidP="0001261C">
            <w:pPr>
              <w:pStyle w:val="Heading9"/>
              <w:rPr>
                <w:rFonts w:ascii="Calibri" w:hAnsi="Calibri"/>
                <w:b w:val="0"/>
              </w:rPr>
            </w:pPr>
          </w:p>
        </w:tc>
      </w:tr>
      <w:tr w:rsidR="00BC2608">
        <w:tc>
          <w:tcPr>
            <w:tcW w:w="3524" w:type="dxa"/>
          </w:tcPr>
          <w:p w:rsidR="00BC2608" w:rsidRPr="00BF37B1" w:rsidRDefault="00BC2608">
            <w:pPr>
              <w:rPr>
                <w:rFonts w:ascii="Calibri" w:hAnsi="Calibri"/>
                <w:b/>
                <w:i/>
                <w:sz w:val="20"/>
              </w:rPr>
            </w:pPr>
            <w:bookmarkStart w:id="44" w:name="Row16"/>
            <w:r w:rsidRPr="00BF37B1">
              <w:rPr>
                <w:rFonts w:ascii="Calibri" w:hAnsi="Calibri"/>
                <w:b/>
                <w:i/>
                <w:sz w:val="20"/>
              </w:rPr>
              <w:t>Transparency</w:t>
            </w:r>
            <w:bookmarkEnd w:id="44"/>
          </w:p>
          <w:p w:rsidR="00BC2608" w:rsidRPr="00BF37B1" w:rsidRDefault="00BC2608">
            <w:pPr>
              <w:rPr>
                <w:rFonts w:ascii="Calibri" w:hAnsi="Calibri"/>
                <w:b/>
                <w:i/>
                <w:sz w:val="20"/>
              </w:rPr>
            </w:pPr>
          </w:p>
        </w:tc>
        <w:tc>
          <w:tcPr>
            <w:tcW w:w="5387" w:type="dxa"/>
          </w:tcPr>
          <w:p w:rsidR="00BC2608" w:rsidRDefault="008C7A76" w:rsidP="008C7A76">
            <w:pPr>
              <w:numPr>
                <w:ilvl w:val="1"/>
                <w:numId w:val="9"/>
              </w:numPr>
              <w:tabs>
                <w:tab w:val="clear" w:pos="1440"/>
                <w:tab w:val="num" w:pos="338"/>
              </w:tabs>
              <w:ind w:left="338" w:hanging="338"/>
              <w:rPr>
                <w:rFonts w:ascii="Calibri" w:hAnsi="Calibri"/>
                <w:i/>
                <w:sz w:val="20"/>
              </w:rPr>
            </w:pPr>
            <w:bookmarkStart w:id="45" w:name="Cell31"/>
            <w:bookmarkEnd w:id="45"/>
            <w:r>
              <w:rPr>
                <w:rFonts w:ascii="Calibri" w:hAnsi="Calibri"/>
                <w:i/>
                <w:sz w:val="20"/>
              </w:rPr>
              <w:t xml:space="preserve">Malaysia encourages the principle of transparency in a number of </w:t>
            </w:r>
            <w:proofErr w:type="gramStart"/>
            <w:r>
              <w:rPr>
                <w:rFonts w:ascii="Calibri" w:hAnsi="Calibri"/>
                <w:i/>
                <w:sz w:val="20"/>
              </w:rPr>
              <w:t>aspect</w:t>
            </w:r>
            <w:proofErr w:type="gramEnd"/>
            <w:r>
              <w:rPr>
                <w:rFonts w:ascii="Calibri" w:hAnsi="Calibri"/>
                <w:i/>
                <w:sz w:val="20"/>
              </w:rPr>
              <w:t>. All of its policy, laws and regulations are published on the respective Ministry and Agencies’ website for the publics’ information.</w:t>
            </w:r>
          </w:p>
          <w:p w:rsidR="008C7A76" w:rsidRPr="00063155" w:rsidRDefault="008C7A76" w:rsidP="008C7A76">
            <w:pPr>
              <w:numPr>
                <w:ilvl w:val="1"/>
                <w:numId w:val="9"/>
              </w:numPr>
              <w:tabs>
                <w:tab w:val="clear" w:pos="1440"/>
                <w:tab w:val="num" w:pos="338"/>
              </w:tabs>
              <w:ind w:left="338" w:hanging="338"/>
              <w:rPr>
                <w:rFonts w:ascii="Calibri" w:hAnsi="Calibri"/>
                <w:i/>
                <w:sz w:val="20"/>
              </w:rPr>
            </w:pPr>
            <w:r>
              <w:rPr>
                <w:rFonts w:ascii="Calibri" w:hAnsi="Calibri"/>
                <w:i/>
                <w:sz w:val="20"/>
              </w:rPr>
              <w:t xml:space="preserve">Further information can be sought by the public through respective Ministries and Agencies’ website and its social networking pages such as twitter and </w:t>
            </w:r>
            <w:proofErr w:type="spellStart"/>
            <w:r>
              <w:rPr>
                <w:rFonts w:ascii="Calibri" w:hAnsi="Calibri"/>
                <w:i/>
                <w:sz w:val="20"/>
              </w:rPr>
              <w:t>facebook</w:t>
            </w:r>
            <w:proofErr w:type="spellEnd"/>
            <w:r>
              <w:rPr>
                <w:rFonts w:ascii="Calibri" w:hAnsi="Calibri"/>
                <w:i/>
                <w:sz w:val="20"/>
              </w:rPr>
              <w:t>.</w:t>
            </w:r>
          </w:p>
        </w:tc>
        <w:tc>
          <w:tcPr>
            <w:tcW w:w="5670" w:type="dxa"/>
          </w:tcPr>
          <w:p w:rsidR="00BC2608" w:rsidRPr="00063155" w:rsidRDefault="00BC2608">
            <w:pPr>
              <w:rPr>
                <w:rFonts w:ascii="Calibri" w:hAnsi="Calibri"/>
                <w:i/>
                <w:sz w:val="20"/>
              </w:rPr>
            </w:pPr>
            <w:bookmarkStart w:id="46" w:name="Cell32"/>
            <w:bookmarkEnd w:id="46"/>
            <w:r w:rsidRPr="00063155">
              <w:rPr>
                <w:rFonts w:ascii="Calibri" w:hAnsi="Calibri" w:cs="Arial"/>
                <w:i/>
                <w:sz w:val="20"/>
              </w:rPr>
              <w:t>Provide brief points only</w:t>
            </w:r>
          </w:p>
        </w:tc>
      </w:tr>
      <w:tr w:rsidR="00BC2608" w:rsidRPr="00B72FF6">
        <w:tc>
          <w:tcPr>
            <w:tcW w:w="3524" w:type="dxa"/>
          </w:tcPr>
          <w:p w:rsidR="00BC2608" w:rsidRPr="00BF37B1" w:rsidRDefault="00BC2608" w:rsidP="0001261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BC2608" w:rsidRPr="00063155" w:rsidRDefault="00F64B41" w:rsidP="0001261C">
            <w:pPr>
              <w:pStyle w:val="Heading9"/>
              <w:rPr>
                <w:rFonts w:ascii="Calibri" w:hAnsi="Calibri"/>
                <w:b w:val="0"/>
              </w:rPr>
            </w:pPr>
            <w:hyperlink r:id="rId31" w:history="1">
              <w:r w:rsidR="00BC2608" w:rsidRPr="00063155">
                <w:rPr>
                  <w:rStyle w:val="Hyperlink"/>
                  <w:rFonts w:ascii="Calibri" w:hAnsi="Calibri"/>
                  <w:b w:val="0"/>
                  <w:color w:val="auto"/>
                </w:rPr>
                <w:t>www.malaysia.gov.my</w:t>
              </w:r>
            </w:hyperlink>
            <w:r w:rsidR="00BC2608" w:rsidRPr="00063155">
              <w:rPr>
                <w:rFonts w:ascii="Calibri" w:hAnsi="Calibri"/>
                <w:b w:val="0"/>
              </w:rPr>
              <w:t>, www.miti.gov.my</w:t>
            </w:r>
          </w:p>
        </w:tc>
        <w:tc>
          <w:tcPr>
            <w:tcW w:w="5670" w:type="dxa"/>
          </w:tcPr>
          <w:p w:rsidR="00BC2608" w:rsidRPr="00063155" w:rsidRDefault="00BC2608" w:rsidP="0001261C">
            <w:pPr>
              <w:pStyle w:val="Heading9"/>
              <w:rPr>
                <w:rFonts w:ascii="Calibri" w:hAnsi="Calibri"/>
                <w:b w:val="0"/>
              </w:rPr>
            </w:pPr>
          </w:p>
        </w:tc>
      </w:tr>
      <w:tr w:rsidR="00BC2608" w:rsidRPr="00B72FF6">
        <w:tc>
          <w:tcPr>
            <w:tcW w:w="3524" w:type="dxa"/>
          </w:tcPr>
          <w:p w:rsidR="00BC2608" w:rsidRPr="00BF37B1" w:rsidRDefault="00BC2608" w:rsidP="0001261C">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BC2608" w:rsidRPr="00063155" w:rsidRDefault="00BC2608" w:rsidP="0001261C">
            <w:pPr>
              <w:pStyle w:val="Heading9"/>
              <w:rPr>
                <w:rFonts w:ascii="Calibri" w:hAnsi="Calibri"/>
                <w:b w:val="0"/>
              </w:rPr>
            </w:pPr>
            <w:r w:rsidRPr="00063155">
              <w:rPr>
                <w:rFonts w:ascii="Calibri" w:hAnsi="Calibri"/>
                <w:b w:val="0"/>
              </w:rPr>
              <w:t>apecmiti@miti.gov.my</w:t>
            </w:r>
          </w:p>
        </w:tc>
        <w:tc>
          <w:tcPr>
            <w:tcW w:w="5670" w:type="dxa"/>
          </w:tcPr>
          <w:p w:rsidR="00BC2608" w:rsidRPr="00063155" w:rsidRDefault="00BC2608" w:rsidP="0001261C">
            <w:pPr>
              <w:pStyle w:val="Heading9"/>
              <w:rPr>
                <w:rFonts w:ascii="Calibri" w:hAnsi="Calibri"/>
                <w:b w:val="0"/>
              </w:rPr>
            </w:pP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64"/>
        <w:gridCol w:w="2760"/>
        <w:gridCol w:w="11040"/>
        <w:gridCol w:w="17"/>
      </w:tblGrid>
      <w:tr w:rsidR="00CB6A57" w:rsidRPr="000A33A0" w:rsidTr="000A33A0">
        <w:trPr>
          <w:cantSplit/>
        </w:trPr>
        <w:tc>
          <w:tcPr>
            <w:tcW w:w="14581" w:type="dxa"/>
            <w:gridSpan w:val="4"/>
            <w:shd w:val="clear" w:color="auto" w:fill="DBE5F1"/>
          </w:tcPr>
          <w:p w:rsidR="00CB6A57" w:rsidRPr="000A33A0" w:rsidRDefault="00CB6A57">
            <w:pPr>
              <w:rPr>
                <w:rFonts w:ascii="Calibri" w:hAnsi="Calibri"/>
                <w:b/>
                <w:sz w:val="20"/>
              </w:rPr>
            </w:pPr>
          </w:p>
          <w:p w:rsidR="00CB6A57" w:rsidRPr="000A33A0" w:rsidRDefault="00CB6A57">
            <w:pPr>
              <w:rPr>
                <w:rFonts w:ascii="Calibri" w:hAnsi="Calibri"/>
                <w:b/>
                <w:sz w:val="20"/>
                <w:vertAlign w:val="superscript"/>
                <w:lang w:eastAsia="zh-TW"/>
              </w:rPr>
            </w:pPr>
            <w:r w:rsidRPr="000A33A0">
              <w:rPr>
                <w:rFonts w:ascii="Calibri" w:hAnsi="Calibri"/>
                <w:b/>
                <w:sz w:val="20"/>
              </w:rPr>
              <w:t xml:space="preserve">RTAs/FTAs </w:t>
            </w:r>
          </w:p>
          <w:p w:rsidR="00CB6A57" w:rsidRPr="000A33A0" w:rsidRDefault="00CB6A57">
            <w:pPr>
              <w:rPr>
                <w:rFonts w:ascii="Calibri" w:hAnsi="Calibri"/>
                <w:sz w:val="20"/>
                <w:lang w:val="en-US"/>
              </w:rPr>
            </w:pPr>
          </w:p>
        </w:tc>
      </w:tr>
      <w:tr w:rsidR="00CB6A57" w:rsidRPr="00BF37B1">
        <w:trPr>
          <w:gridAfter w:val="1"/>
          <w:wAfter w:w="17" w:type="dxa"/>
          <w:cantSplit/>
        </w:trPr>
        <w:tc>
          <w:tcPr>
            <w:tcW w:w="3524" w:type="dxa"/>
            <w:gridSpan w:val="2"/>
          </w:tcPr>
          <w:p w:rsidR="00CB6A57" w:rsidRPr="00BF37B1" w:rsidRDefault="00CB6A57" w:rsidP="00BF37B1">
            <w:pPr>
              <w:spacing w:before="120" w:after="120"/>
              <w:rPr>
                <w:rFonts w:ascii="Calibri" w:hAnsi="Calibri"/>
                <w:b/>
                <w:i/>
                <w:sz w:val="20"/>
              </w:rPr>
            </w:pPr>
            <w:r w:rsidRPr="00BF37B1">
              <w:rPr>
                <w:rFonts w:ascii="Calibri" w:hAnsi="Calibri"/>
                <w:b/>
                <w:i/>
                <w:sz w:val="20"/>
              </w:rPr>
              <w:t xml:space="preserve">- </w:t>
            </w:r>
            <w:bookmarkStart w:id="47" w:name="Row17"/>
            <w:r w:rsidRPr="00BF37B1">
              <w:rPr>
                <w:rFonts w:ascii="Calibri" w:hAnsi="Calibri"/>
                <w:b/>
                <w:i/>
                <w:sz w:val="20"/>
              </w:rPr>
              <w:t>Description of current   agreements</w:t>
            </w:r>
            <w:bookmarkEnd w:id="47"/>
          </w:p>
        </w:tc>
        <w:tc>
          <w:tcPr>
            <w:tcW w:w="11040" w:type="dxa"/>
          </w:tcPr>
          <w:p w:rsidR="008A755B" w:rsidRPr="002578B1" w:rsidRDefault="008A755B" w:rsidP="008A755B">
            <w:pPr>
              <w:rPr>
                <w:rFonts w:ascii="Calibri" w:hAnsi="Calibri"/>
                <w:i/>
                <w:sz w:val="20"/>
              </w:rPr>
            </w:pPr>
            <w:bookmarkStart w:id="48" w:name="Cell33"/>
            <w:bookmarkEnd w:id="48"/>
            <w:r>
              <w:rPr>
                <w:rFonts w:ascii="Calibri" w:hAnsi="Calibri"/>
                <w:i/>
                <w:sz w:val="20"/>
              </w:rPr>
              <w:t>Malaysia-New Zealand Free Trade Agreement</w:t>
            </w:r>
          </w:p>
          <w:p w:rsidR="008A755B" w:rsidRPr="002578B1" w:rsidRDefault="008A755B" w:rsidP="008A755B">
            <w:pPr>
              <w:rPr>
                <w:rFonts w:ascii="Calibri" w:hAnsi="Calibri"/>
                <w:i/>
                <w:sz w:val="20"/>
              </w:rPr>
            </w:pPr>
            <w:r w:rsidRPr="002578B1">
              <w:rPr>
                <w:rFonts w:ascii="Calibri" w:hAnsi="Calibri"/>
                <w:i/>
                <w:sz w:val="20"/>
              </w:rPr>
              <w:t>-</w:t>
            </w:r>
            <w:r w:rsidRPr="002578B1">
              <w:rPr>
                <w:rFonts w:ascii="Calibri" w:hAnsi="Calibri"/>
                <w:i/>
                <w:sz w:val="20"/>
              </w:rPr>
              <w:tab/>
              <w:t xml:space="preserve">Date of entry into force:  </w:t>
            </w:r>
            <w:r>
              <w:rPr>
                <w:rFonts w:ascii="Calibri" w:hAnsi="Calibri"/>
                <w:i/>
                <w:sz w:val="20"/>
              </w:rPr>
              <w:t>1 August 2010</w:t>
            </w:r>
          </w:p>
          <w:p w:rsidR="008A755B" w:rsidRPr="002578B1" w:rsidRDefault="008A755B" w:rsidP="008A755B">
            <w:pPr>
              <w:rPr>
                <w:rFonts w:ascii="Calibri" w:hAnsi="Calibri"/>
                <w:i/>
                <w:sz w:val="20"/>
              </w:rPr>
            </w:pPr>
            <w:r w:rsidRPr="002578B1">
              <w:rPr>
                <w:rFonts w:ascii="Calibri" w:hAnsi="Calibri"/>
                <w:i/>
                <w:sz w:val="20"/>
              </w:rPr>
              <w:t>-</w:t>
            </w:r>
            <w:r w:rsidRPr="002578B1">
              <w:rPr>
                <w:rFonts w:ascii="Calibri" w:hAnsi="Calibri"/>
                <w:i/>
                <w:sz w:val="20"/>
              </w:rPr>
              <w:tab/>
              <w:t>Notificati</w:t>
            </w:r>
            <w:r>
              <w:rPr>
                <w:rFonts w:ascii="Calibri" w:hAnsi="Calibri"/>
                <w:i/>
                <w:sz w:val="20"/>
              </w:rPr>
              <w:t>on to the WTO: To Be Determined</w:t>
            </w:r>
          </w:p>
          <w:p w:rsidR="008A755B" w:rsidRDefault="008A755B" w:rsidP="002578B1">
            <w:pPr>
              <w:rPr>
                <w:rFonts w:ascii="Calibri" w:hAnsi="Calibri"/>
                <w:i/>
                <w:sz w:val="20"/>
              </w:rPr>
            </w:pPr>
          </w:p>
          <w:p w:rsidR="002578B1" w:rsidRPr="002578B1" w:rsidRDefault="002578B1" w:rsidP="002578B1">
            <w:pPr>
              <w:rPr>
                <w:rFonts w:ascii="Calibri" w:hAnsi="Calibri"/>
                <w:i/>
                <w:sz w:val="20"/>
              </w:rPr>
            </w:pPr>
            <w:r>
              <w:rPr>
                <w:rFonts w:ascii="Calibri" w:hAnsi="Calibri"/>
                <w:i/>
                <w:sz w:val="20"/>
              </w:rPr>
              <w:t>Malaysia-India Comprehensive Economic Cooperation Agreement</w:t>
            </w:r>
          </w:p>
          <w:p w:rsidR="002578B1" w:rsidRPr="002578B1" w:rsidRDefault="002578B1" w:rsidP="002578B1">
            <w:pPr>
              <w:rPr>
                <w:rFonts w:ascii="Calibri" w:hAnsi="Calibri"/>
                <w:i/>
                <w:sz w:val="20"/>
              </w:rPr>
            </w:pPr>
            <w:r w:rsidRPr="002578B1">
              <w:rPr>
                <w:rFonts w:ascii="Calibri" w:hAnsi="Calibri"/>
                <w:i/>
                <w:sz w:val="20"/>
              </w:rPr>
              <w:t>-</w:t>
            </w:r>
            <w:r w:rsidRPr="002578B1">
              <w:rPr>
                <w:rFonts w:ascii="Calibri" w:hAnsi="Calibri"/>
                <w:i/>
                <w:sz w:val="20"/>
              </w:rPr>
              <w:tab/>
              <w:t xml:space="preserve">Date of entry into force:  </w:t>
            </w:r>
            <w:r w:rsidR="008A755B">
              <w:rPr>
                <w:rFonts w:ascii="Calibri" w:hAnsi="Calibri"/>
                <w:i/>
                <w:sz w:val="20"/>
              </w:rPr>
              <w:t>1 July 2011</w:t>
            </w:r>
          </w:p>
          <w:p w:rsidR="008A755B" w:rsidRDefault="002578B1" w:rsidP="008A755B">
            <w:pPr>
              <w:rPr>
                <w:rFonts w:ascii="Calibri" w:hAnsi="Calibri"/>
                <w:i/>
                <w:sz w:val="20"/>
              </w:rPr>
            </w:pPr>
            <w:r w:rsidRPr="002578B1">
              <w:rPr>
                <w:rFonts w:ascii="Calibri" w:hAnsi="Calibri"/>
                <w:i/>
                <w:sz w:val="20"/>
              </w:rPr>
              <w:t>-</w:t>
            </w:r>
            <w:r w:rsidRPr="002578B1">
              <w:rPr>
                <w:rFonts w:ascii="Calibri" w:hAnsi="Calibri"/>
                <w:i/>
                <w:sz w:val="20"/>
              </w:rPr>
              <w:tab/>
              <w:t>Notification to the WTO: To Be Determined</w:t>
            </w:r>
          </w:p>
          <w:p w:rsidR="008A755B" w:rsidRDefault="008A755B" w:rsidP="008A755B">
            <w:pPr>
              <w:rPr>
                <w:rFonts w:ascii="Calibri" w:hAnsi="Calibri"/>
                <w:i/>
                <w:sz w:val="20"/>
              </w:rPr>
            </w:pPr>
          </w:p>
          <w:p w:rsidR="008A755B" w:rsidRPr="002578B1" w:rsidRDefault="008A755B" w:rsidP="008A755B">
            <w:pPr>
              <w:rPr>
                <w:rFonts w:ascii="Calibri" w:hAnsi="Calibri"/>
                <w:i/>
                <w:sz w:val="20"/>
              </w:rPr>
            </w:pPr>
            <w:r>
              <w:rPr>
                <w:rFonts w:ascii="Calibri" w:hAnsi="Calibri"/>
                <w:i/>
                <w:sz w:val="20"/>
              </w:rPr>
              <w:t xml:space="preserve">ASEAN-Australia-New Zealand Free Trade Agreement </w:t>
            </w:r>
          </w:p>
          <w:p w:rsidR="008A755B" w:rsidRPr="002578B1" w:rsidRDefault="008A755B" w:rsidP="008A755B">
            <w:pPr>
              <w:rPr>
                <w:rFonts w:ascii="Calibri" w:hAnsi="Calibri"/>
                <w:i/>
                <w:sz w:val="20"/>
              </w:rPr>
            </w:pPr>
            <w:r w:rsidRPr="002578B1">
              <w:rPr>
                <w:rFonts w:ascii="Calibri" w:hAnsi="Calibri"/>
                <w:i/>
                <w:sz w:val="20"/>
              </w:rPr>
              <w:t>-</w:t>
            </w:r>
            <w:r w:rsidRPr="002578B1">
              <w:rPr>
                <w:rFonts w:ascii="Calibri" w:hAnsi="Calibri"/>
                <w:i/>
                <w:sz w:val="20"/>
              </w:rPr>
              <w:tab/>
              <w:t xml:space="preserve">Date of entry into force:  </w:t>
            </w:r>
            <w:r>
              <w:rPr>
                <w:rFonts w:ascii="Calibri" w:hAnsi="Calibri"/>
                <w:i/>
                <w:sz w:val="20"/>
              </w:rPr>
              <w:t>1 January 2010</w:t>
            </w:r>
          </w:p>
          <w:p w:rsidR="008A755B" w:rsidRDefault="008A755B" w:rsidP="008A755B">
            <w:pPr>
              <w:rPr>
                <w:rFonts w:ascii="Calibri" w:hAnsi="Calibri"/>
                <w:i/>
                <w:sz w:val="20"/>
              </w:rPr>
            </w:pPr>
            <w:r w:rsidRPr="002578B1">
              <w:rPr>
                <w:rFonts w:ascii="Calibri" w:hAnsi="Calibri"/>
                <w:i/>
                <w:sz w:val="20"/>
              </w:rPr>
              <w:t>-</w:t>
            </w:r>
            <w:r w:rsidRPr="002578B1">
              <w:rPr>
                <w:rFonts w:ascii="Calibri" w:hAnsi="Calibri"/>
                <w:i/>
                <w:sz w:val="20"/>
              </w:rPr>
              <w:tab/>
              <w:t>Notificati</w:t>
            </w:r>
            <w:r>
              <w:rPr>
                <w:rFonts w:ascii="Calibri" w:hAnsi="Calibri"/>
                <w:i/>
                <w:sz w:val="20"/>
              </w:rPr>
              <w:t>on to the WTO: To Be Determined</w:t>
            </w:r>
          </w:p>
          <w:p w:rsidR="008A755B" w:rsidRDefault="008A755B" w:rsidP="008A755B">
            <w:pPr>
              <w:rPr>
                <w:rFonts w:ascii="Calibri" w:hAnsi="Calibri"/>
                <w:i/>
                <w:sz w:val="20"/>
              </w:rPr>
            </w:pPr>
          </w:p>
          <w:p w:rsidR="008A755B" w:rsidRPr="002578B1" w:rsidRDefault="008A755B" w:rsidP="008A755B">
            <w:pPr>
              <w:rPr>
                <w:rFonts w:ascii="Calibri" w:hAnsi="Calibri"/>
                <w:i/>
                <w:sz w:val="20"/>
              </w:rPr>
            </w:pPr>
            <w:r>
              <w:rPr>
                <w:rFonts w:ascii="Calibri" w:hAnsi="Calibri"/>
                <w:i/>
                <w:sz w:val="20"/>
              </w:rPr>
              <w:t>ASEAN-India Free Trade Agreement</w:t>
            </w:r>
          </w:p>
          <w:p w:rsidR="008A755B" w:rsidRPr="002578B1" w:rsidRDefault="008A755B" w:rsidP="008A755B">
            <w:pPr>
              <w:rPr>
                <w:rFonts w:ascii="Calibri" w:hAnsi="Calibri"/>
                <w:i/>
                <w:sz w:val="20"/>
              </w:rPr>
            </w:pPr>
            <w:r w:rsidRPr="002578B1">
              <w:rPr>
                <w:rFonts w:ascii="Calibri" w:hAnsi="Calibri"/>
                <w:i/>
                <w:sz w:val="20"/>
              </w:rPr>
              <w:t>-</w:t>
            </w:r>
            <w:r w:rsidRPr="002578B1">
              <w:rPr>
                <w:rFonts w:ascii="Calibri" w:hAnsi="Calibri"/>
                <w:i/>
                <w:sz w:val="20"/>
              </w:rPr>
              <w:tab/>
              <w:t xml:space="preserve">Date of entry into force: </w:t>
            </w:r>
            <w:r>
              <w:rPr>
                <w:rFonts w:ascii="Calibri" w:hAnsi="Calibri"/>
                <w:i/>
                <w:sz w:val="20"/>
              </w:rPr>
              <w:t>1 January 2010</w:t>
            </w:r>
          </w:p>
          <w:p w:rsidR="008A755B" w:rsidRDefault="008A755B" w:rsidP="008A755B">
            <w:pPr>
              <w:rPr>
                <w:rFonts w:ascii="Calibri" w:hAnsi="Calibri"/>
                <w:i/>
                <w:sz w:val="20"/>
              </w:rPr>
            </w:pPr>
            <w:r w:rsidRPr="002578B1">
              <w:rPr>
                <w:rFonts w:ascii="Calibri" w:hAnsi="Calibri"/>
                <w:i/>
                <w:sz w:val="20"/>
              </w:rPr>
              <w:t>-</w:t>
            </w:r>
            <w:r w:rsidRPr="002578B1">
              <w:rPr>
                <w:rFonts w:ascii="Calibri" w:hAnsi="Calibri"/>
                <w:i/>
                <w:sz w:val="20"/>
              </w:rPr>
              <w:tab/>
              <w:t>Notification to the WTO: To Be Determined</w:t>
            </w:r>
          </w:p>
          <w:p w:rsidR="008A755B" w:rsidRPr="002578B1" w:rsidRDefault="008A755B" w:rsidP="008A755B">
            <w:pPr>
              <w:rPr>
                <w:rFonts w:ascii="Calibri" w:hAnsi="Calibri"/>
                <w:i/>
                <w:sz w:val="20"/>
              </w:rPr>
            </w:pPr>
          </w:p>
          <w:p w:rsidR="008A755B" w:rsidRPr="002578B1" w:rsidRDefault="008A755B" w:rsidP="008A755B">
            <w:pPr>
              <w:rPr>
                <w:rFonts w:ascii="Calibri" w:hAnsi="Calibri"/>
                <w:i/>
                <w:sz w:val="20"/>
              </w:rPr>
            </w:pPr>
            <w:r>
              <w:rPr>
                <w:rFonts w:ascii="Calibri" w:hAnsi="Calibri"/>
                <w:i/>
                <w:sz w:val="20"/>
              </w:rPr>
              <w:t>Malaysia-Chile Free Trade Agreement</w:t>
            </w:r>
          </w:p>
          <w:p w:rsidR="008A755B" w:rsidRPr="002578B1" w:rsidRDefault="008A755B" w:rsidP="008A755B">
            <w:pPr>
              <w:rPr>
                <w:rFonts w:ascii="Calibri" w:hAnsi="Calibri"/>
                <w:i/>
                <w:sz w:val="20"/>
              </w:rPr>
            </w:pPr>
            <w:r w:rsidRPr="002578B1">
              <w:rPr>
                <w:rFonts w:ascii="Calibri" w:hAnsi="Calibri"/>
                <w:i/>
                <w:sz w:val="20"/>
              </w:rPr>
              <w:t>-</w:t>
            </w:r>
            <w:r w:rsidRPr="002578B1">
              <w:rPr>
                <w:rFonts w:ascii="Calibri" w:hAnsi="Calibri"/>
                <w:i/>
                <w:sz w:val="20"/>
              </w:rPr>
              <w:tab/>
              <w:t xml:space="preserve">Date of entry into force:  </w:t>
            </w:r>
            <w:r>
              <w:rPr>
                <w:rFonts w:ascii="Calibri" w:hAnsi="Calibri"/>
                <w:i/>
                <w:sz w:val="20"/>
              </w:rPr>
              <w:t>28 February 2012</w:t>
            </w:r>
          </w:p>
          <w:p w:rsidR="008A755B" w:rsidRPr="002578B1" w:rsidRDefault="008A755B" w:rsidP="002578B1">
            <w:pPr>
              <w:rPr>
                <w:rFonts w:ascii="Calibri" w:hAnsi="Calibri"/>
                <w:i/>
                <w:sz w:val="20"/>
              </w:rPr>
            </w:pPr>
            <w:r w:rsidRPr="002578B1">
              <w:rPr>
                <w:rFonts w:ascii="Calibri" w:hAnsi="Calibri"/>
                <w:i/>
                <w:sz w:val="20"/>
              </w:rPr>
              <w:t>-</w:t>
            </w:r>
            <w:r w:rsidRPr="002578B1">
              <w:rPr>
                <w:rFonts w:ascii="Calibri" w:hAnsi="Calibri"/>
                <w:i/>
                <w:sz w:val="20"/>
              </w:rPr>
              <w:tab/>
              <w:t>Notificati</w:t>
            </w:r>
            <w:r>
              <w:rPr>
                <w:rFonts w:ascii="Calibri" w:hAnsi="Calibri"/>
                <w:i/>
                <w:sz w:val="20"/>
              </w:rPr>
              <w:t>on to the WTO: To Be Determined</w:t>
            </w:r>
          </w:p>
          <w:p w:rsidR="008A755B" w:rsidRDefault="008A755B" w:rsidP="002578B1">
            <w:pPr>
              <w:rPr>
                <w:rFonts w:ascii="Calibri" w:hAnsi="Calibri"/>
                <w:i/>
                <w:sz w:val="20"/>
              </w:rPr>
            </w:pPr>
          </w:p>
          <w:p w:rsidR="002578B1" w:rsidRPr="002578B1" w:rsidRDefault="002578B1" w:rsidP="002578B1">
            <w:pPr>
              <w:rPr>
                <w:rFonts w:ascii="Calibri" w:hAnsi="Calibri"/>
                <w:i/>
                <w:sz w:val="20"/>
              </w:rPr>
            </w:pPr>
            <w:r w:rsidRPr="002578B1">
              <w:rPr>
                <w:rFonts w:ascii="Calibri" w:hAnsi="Calibri"/>
                <w:i/>
                <w:sz w:val="20"/>
              </w:rPr>
              <w:t>For more information</w:t>
            </w:r>
            <w:r w:rsidR="008A755B">
              <w:rPr>
                <w:rFonts w:ascii="Calibri" w:hAnsi="Calibri"/>
                <w:i/>
                <w:sz w:val="20"/>
              </w:rPr>
              <w:t xml:space="preserve"> on all FTAs</w:t>
            </w:r>
            <w:r w:rsidRPr="002578B1">
              <w:rPr>
                <w:rFonts w:ascii="Calibri" w:hAnsi="Calibri"/>
                <w:i/>
                <w:sz w:val="20"/>
              </w:rPr>
              <w:t>:  http://www.</w:t>
            </w:r>
            <w:r w:rsidR="008A755B">
              <w:rPr>
                <w:rFonts w:ascii="Calibri" w:hAnsi="Calibri"/>
                <w:i/>
                <w:sz w:val="20"/>
              </w:rPr>
              <w:t>miti.gov.my</w:t>
            </w:r>
          </w:p>
          <w:p w:rsidR="00CB6A57" w:rsidRPr="00BF37B1" w:rsidRDefault="00CB6A57" w:rsidP="00BF37B1">
            <w:pPr>
              <w:spacing w:before="120" w:after="120"/>
              <w:rPr>
                <w:rFonts w:ascii="Calibri" w:hAnsi="Calibri"/>
                <w:i/>
                <w:sz w:val="20"/>
              </w:rPr>
            </w:pPr>
          </w:p>
        </w:tc>
      </w:tr>
      <w:tr w:rsidR="00CB6A57" w:rsidRPr="00BF37B1">
        <w:trPr>
          <w:gridAfter w:val="1"/>
          <w:wAfter w:w="17" w:type="dxa"/>
          <w:cantSplit/>
        </w:trPr>
        <w:tc>
          <w:tcPr>
            <w:tcW w:w="3524" w:type="dxa"/>
            <w:gridSpan w:val="2"/>
          </w:tcPr>
          <w:p w:rsidR="00CB6A57" w:rsidRPr="00BF37B1" w:rsidRDefault="00CB6A57" w:rsidP="00BF37B1">
            <w:pPr>
              <w:spacing w:before="120" w:after="120"/>
              <w:rPr>
                <w:rFonts w:ascii="Calibri" w:hAnsi="Calibri"/>
                <w:b/>
                <w:i/>
                <w:sz w:val="20"/>
              </w:rPr>
            </w:pPr>
            <w:r w:rsidRPr="00BF37B1">
              <w:rPr>
                <w:rFonts w:ascii="Calibri" w:hAnsi="Calibri"/>
                <w:b/>
                <w:i/>
                <w:sz w:val="20"/>
              </w:rPr>
              <w:t>- Agreements under negotiation</w:t>
            </w:r>
          </w:p>
          <w:p w:rsidR="00CB6A57" w:rsidRPr="00BF37B1" w:rsidRDefault="00CB6A57" w:rsidP="00BF37B1">
            <w:pPr>
              <w:spacing w:before="120" w:after="120"/>
              <w:rPr>
                <w:rFonts w:ascii="Calibri" w:hAnsi="Calibri"/>
                <w:b/>
                <w:i/>
                <w:sz w:val="20"/>
              </w:rPr>
            </w:pPr>
          </w:p>
        </w:tc>
        <w:tc>
          <w:tcPr>
            <w:tcW w:w="11040" w:type="dxa"/>
          </w:tcPr>
          <w:p w:rsidR="00CB6A57" w:rsidRPr="00BF37B1" w:rsidRDefault="00CB6A57" w:rsidP="00BF37B1">
            <w:pPr>
              <w:spacing w:before="120" w:after="120"/>
              <w:rPr>
                <w:rFonts w:ascii="Calibri" w:hAnsi="Calibri"/>
                <w:i/>
                <w:sz w:val="20"/>
              </w:rPr>
            </w:pPr>
          </w:p>
        </w:tc>
      </w:tr>
      <w:tr w:rsidR="00CB6A57" w:rsidRPr="00BF37B1">
        <w:trPr>
          <w:gridAfter w:val="1"/>
          <w:wAfter w:w="17" w:type="dxa"/>
          <w:cantSplit/>
        </w:trPr>
        <w:tc>
          <w:tcPr>
            <w:tcW w:w="764" w:type="dxa"/>
            <w:vMerge w:val="restart"/>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49" w:name="Agreement01"/>
          </w:p>
          <w:p w:rsidR="00CB6A57" w:rsidRPr="00BF37B1" w:rsidRDefault="00CB6A57">
            <w:pPr>
              <w:rPr>
                <w:rFonts w:ascii="Calibri" w:hAnsi="Calibri"/>
                <w:b/>
                <w:i/>
                <w:sz w:val="20"/>
              </w:rPr>
            </w:pPr>
            <w:r w:rsidRPr="00BF37B1">
              <w:rPr>
                <w:rFonts w:ascii="Calibri" w:hAnsi="Calibri"/>
                <w:b/>
                <w:i/>
                <w:sz w:val="20"/>
              </w:rPr>
              <w:t>Agreement #1</w:t>
            </w:r>
            <w:bookmarkEnd w:id="49"/>
          </w:p>
          <w:p w:rsidR="00CB6A57" w:rsidRPr="00BF37B1" w:rsidRDefault="00CB6A57">
            <w:pPr>
              <w:rPr>
                <w:rFonts w:ascii="Calibri" w:hAnsi="Calibri"/>
                <w:b/>
                <w:i/>
                <w:sz w:val="20"/>
              </w:rPr>
            </w:pPr>
          </w:p>
        </w:tc>
        <w:tc>
          <w:tcPr>
            <w:tcW w:w="11040" w:type="dxa"/>
          </w:tcPr>
          <w:p w:rsidR="00CB6A57" w:rsidRDefault="008A755B">
            <w:pPr>
              <w:rPr>
                <w:rFonts w:ascii="Calibri" w:hAnsi="Calibri"/>
                <w:sz w:val="20"/>
              </w:rPr>
            </w:pPr>
            <w:bookmarkStart w:id="50" w:name="A01"/>
            <w:bookmarkEnd w:id="50"/>
            <w:r>
              <w:rPr>
                <w:rFonts w:ascii="Calibri" w:hAnsi="Calibri"/>
                <w:sz w:val="20"/>
              </w:rPr>
              <w:t>Malaysia-Australia Free Trade Agreement</w:t>
            </w:r>
          </w:p>
          <w:p w:rsidR="008A755B" w:rsidRDefault="008A755B">
            <w:pPr>
              <w:rPr>
                <w:rFonts w:ascii="Calibri" w:hAnsi="Calibri"/>
                <w:sz w:val="20"/>
              </w:rPr>
            </w:pPr>
          </w:p>
          <w:p w:rsidR="008A755B" w:rsidRPr="00BF37B1" w:rsidRDefault="00C30043">
            <w:pPr>
              <w:rPr>
                <w:rFonts w:ascii="Calibri" w:hAnsi="Calibri"/>
                <w:sz w:val="20"/>
              </w:rPr>
            </w:pPr>
            <w:r>
              <w:rPr>
                <w:rFonts w:ascii="Calibri" w:hAnsi="Calibri"/>
                <w:sz w:val="20"/>
              </w:rPr>
              <w:t>The Malaysia-Australia FTA is a comprehensive agreement that covers Trade in Goods, Services, Investment, Intellectual Property, Competition and Economic and Technical Cooperation. Negotiations that commenced in April 2005 are still ongoing. Negotiators are working to conclude negotiations by mid-2012.</w:t>
            </w:r>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51" w:name="Agreement02"/>
          </w:p>
          <w:p w:rsidR="00CB6A57" w:rsidRPr="00BF37B1" w:rsidRDefault="00CB6A57">
            <w:pPr>
              <w:rPr>
                <w:rFonts w:ascii="Calibri" w:hAnsi="Calibri"/>
                <w:b/>
                <w:i/>
                <w:sz w:val="20"/>
              </w:rPr>
            </w:pPr>
            <w:r w:rsidRPr="00BF37B1">
              <w:rPr>
                <w:rFonts w:ascii="Calibri" w:hAnsi="Calibri"/>
                <w:b/>
                <w:i/>
                <w:sz w:val="20"/>
              </w:rPr>
              <w:t>Agreement #2</w:t>
            </w:r>
            <w:bookmarkEnd w:id="51"/>
          </w:p>
          <w:p w:rsidR="00CB6A57" w:rsidRPr="00BF37B1" w:rsidRDefault="00CB6A57">
            <w:pPr>
              <w:rPr>
                <w:rFonts w:ascii="Calibri" w:hAnsi="Calibri"/>
                <w:b/>
                <w:i/>
                <w:sz w:val="20"/>
              </w:rPr>
            </w:pPr>
          </w:p>
        </w:tc>
        <w:tc>
          <w:tcPr>
            <w:tcW w:w="11040" w:type="dxa"/>
          </w:tcPr>
          <w:p w:rsidR="00CB6A57" w:rsidRDefault="00C30043">
            <w:pPr>
              <w:rPr>
                <w:rFonts w:ascii="Calibri" w:hAnsi="Calibri"/>
                <w:sz w:val="20"/>
              </w:rPr>
            </w:pPr>
            <w:bookmarkStart w:id="52" w:name="A02"/>
            <w:bookmarkEnd w:id="52"/>
            <w:r>
              <w:rPr>
                <w:rFonts w:ascii="Calibri" w:hAnsi="Calibri"/>
                <w:sz w:val="20"/>
              </w:rPr>
              <w:t>Malaysia-Turkey Free Trade Agreement</w:t>
            </w:r>
          </w:p>
          <w:p w:rsidR="00C30043" w:rsidRDefault="00C30043">
            <w:pPr>
              <w:rPr>
                <w:rFonts w:ascii="Calibri" w:hAnsi="Calibri"/>
                <w:sz w:val="20"/>
              </w:rPr>
            </w:pPr>
          </w:p>
          <w:p w:rsidR="00C30043" w:rsidRPr="00BF37B1" w:rsidRDefault="00830E32">
            <w:pPr>
              <w:rPr>
                <w:rFonts w:ascii="Calibri" w:hAnsi="Calibri"/>
                <w:sz w:val="20"/>
              </w:rPr>
            </w:pPr>
            <w:r>
              <w:rPr>
                <w:rFonts w:ascii="Calibri" w:hAnsi="Calibri"/>
                <w:sz w:val="20"/>
              </w:rPr>
              <w:t>Negotiations commenced in 2010. The Malaysia-Turkey FTA is a limited scope agreement that covers Trade in Goods and Economic Cooperation. Negotiators are working to conclude negotiations in 2012.</w:t>
            </w:r>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53" w:name="Agreement03"/>
          </w:p>
          <w:p w:rsidR="00CB6A57" w:rsidRPr="00BF37B1" w:rsidRDefault="00CB6A57">
            <w:pPr>
              <w:rPr>
                <w:rFonts w:ascii="Calibri" w:hAnsi="Calibri"/>
                <w:b/>
                <w:i/>
                <w:sz w:val="20"/>
              </w:rPr>
            </w:pPr>
            <w:r w:rsidRPr="00BF37B1">
              <w:rPr>
                <w:rFonts w:ascii="Calibri" w:hAnsi="Calibri"/>
                <w:b/>
                <w:i/>
                <w:sz w:val="20"/>
              </w:rPr>
              <w:t>Agreement #3</w:t>
            </w:r>
            <w:bookmarkEnd w:id="53"/>
          </w:p>
          <w:p w:rsidR="00CB6A57" w:rsidRPr="00BF37B1" w:rsidRDefault="00CB6A57">
            <w:pPr>
              <w:rPr>
                <w:rFonts w:ascii="Calibri" w:hAnsi="Calibri"/>
                <w:b/>
                <w:i/>
                <w:sz w:val="20"/>
              </w:rPr>
            </w:pPr>
          </w:p>
        </w:tc>
        <w:tc>
          <w:tcPr>
            <w:tcW w:w="11040" w:type="dxa"/>
          </w:tcPr>
          <w:p w:rsidR="00CB6A57" w:rsidRDefault="00830E32">
            <w:pPr>
              <w:rPr>
                <w:rFonts w:ascii="Calibri" w:hAnsi="Calibri"/>
                <w:sz w:val="20"/>
              </w:rPr>
            </w:pPr>
            <w:bookmarkStart w:id="54" w:name="A03"/>
            <w:bookmarkEnd w:id="54"/>
            <w:r>
              <w:rPr>
                <w:rFonts w:ascii="Calibri" w:hAnsi="Calibri"/>
                <w:sz w:val="20"/>
              </w:rPr>
              <w:t>Malaysia-European Union Free Trade Agreement</w:t>
            </w:r>
          </w:p>
          <w:p w:rsidR="00830E32" w:rsidRDefault="00830E32">
            <w:pPr>
              <w:rPr>
                <w:rFonts w:ascii="Calibri" w:hAnsi="Calibri"/>
                <w:sz w:val="20"/>
              </w:rPr>
            </w:pPr>
          </w:p>
          <w:p w:rsidR="00830E32" w:rsidRPr="00BF37B1" w:rsidRDefault="00830E32">
            <w:pPr>
              <w:rPr>
                <w:rFonts w:ascii="Calibri" w:hAnsi="Calibri"/>
                <w:sz w:val="20"/>
              </w:rPr>
            </w:pPr>
            <w:r>
              <w:rPr>
                <w:rFonts w:ascii="Calibri" w:hAnsi="Calibri"/>
                <w:sz w:val="20"/>
              </w:rPr>
              <w:t>Malaysia-European Union FTA is a comprehensive agreement that covers Trade in Goods, Services, Investment, IPR, Competition, Government Procurement and Sustainable Development (Labour and Environment). Negotiators are working to conclude negotiations in 2012.</w:t>
            </w:r>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55" w:name="Agreement04"/>
          </w:p>
          <w:p w:rsidR="00CB6A57" w:rsidRPr="00BF37B1" w:rsidRDefault="00CB6A57">
            <w:pPr>
              <w:rPr>
                <w:rFonts w:ascii="Calibri" w:hAnsi="Calibri"/>
                <w:b/>
                <w:i/>
                <w:sz w:val="20"/>
              </w:rPr>
            </w:pPr>
            <w:r w:rsidRPr="00BF37B1">
              <w:rPr>
                <w:rFonts w:ascii="Calibri" w:hAnsi="Calibri"/>
                <w:b/>
                <w:i/>
                <w:sz w:val="20"/>
              </w:rPr>
              <w:t>Agreement #4</w:t>
            </w:r>
            <w:bookmarkEnd w:id="55"/>
          </w:p>
          <w:p w:rsidR="00CB6A57" w:rsidRPr="00BF37B1" w:rsidRDefault="00CB6A57">
            <w:pPr>
              <w:rPr>
                <w:rFonts w:ascii="Calibri" w:hAnsi="Calibri"/>
                <w:b/>
                <w:i/>
                <w:sz w:val="20"/>
              </w:rPr>
            </w:pPr>
          </w:p>
        </w:tc>
        <w:tc>
          <w:tcPr>
            <w:tcW w:w="11040" w:type="dxa"/>
          </w:tcPr>
          <w:p w:rsidR="00CB6A57" w:rsidRDefault="00830E32">
            <w:pPr>
              <w:rPr>
                <w:rFonts w:ascii="Calibri" w:hAnsi="Calibri"/>
                <w:sz w:val="20"/>
              </w:rPr>
            </w:pPr>
            <w:bookmarkStart w:id="56" w:name="A04"/>
            <w:bookmarkEnd w:id="56"/>
            <w:r>
              <w:rPr>
                <w:rFonts w:ascii="Calibri" w:hAnsi="Calibri"/>
                <w:sz w:val="20"/>
              </w:rPr>
              <w:t>Trans-Pacific Partnership (TPP)</w:t>
            </w:r>
          </w:p>
          <w:p w:rsidR="00830E32" w:rsidRDefault="00830E32" w:rsidP="00830E32">
            <w:pPr>
              <w:rPr>
                <w:rFonts w:ascii="Calibri" w:hAnsi="Calibri"/>
                <w:sz w:val="20"/>
              </w:rPr>
            </w:pPr>
          </w:p>
          <w:p w:rsidR="00830E32" w:rsidRPr="00830E32" w:rsidRDefault="00830E32" w:rsidP="00830E32">
            <w:pPr>
              <w:rPr>
                <w:rFonts w:ascii="Calibri" w:hAnsi="Calibri"/>
                <w:sz w:val="20"/>
                <w:lang w:val="en-US"/>
              </w:rPr>
            </w:pPr>
            <w:r w:rsidRPr="00830E32">
              <w:rPr>
                <w:rFonts w:ascii="Calibri" w:hAnsi="Calibri"/>
                <w:sz w:val="20"/>
                <w:lang w:val="en-US"/>
              </w:rPr>
              <w:t xml:space="preserve">The TPP is an FTA initiative involving Australia, Brunei, Chile, Malaysia, New Zealand, Peru, Singapore, United States and Viet Nam. </w:t>
            </w:r>
          </w:p>
          <w:p w:rsidR="00830E32" w:rsidRPr="00830E32" w:rsidRDefault="00830E32" w:rsidP="00830E32">
            <w:pPr>
              <w:rPr>
                <w:rFonts w:ascii="Calibri" w:hAnsi="Calibri"/>
                <w:sz w:val="20"/>
                <w:lang w:val="en-US"/>
              </w:rPr>
            </w:pPr>
          </w:p>
          <w:p w:rsidR="00830E32" w:rsidRPr="00830E32" w:rsidRDefault="00830E32" w:rsidP="00830E32">
            <w:pPr>
              <w:rPr>
                <w:rFonts w:ascii="Calibri" w:hAnsi="Calibri"/>
                <w:sz w:val="20"/>
                <w:lang w:val="en-US"/>
              </w:rPr>
            </w:pPr>
            <w:r w:rsidRPr="00830E32">
              <w:rPr>
                <w:rFonts w:ascii="Calibri" w:hAnsi="Calibri"/>
                <w:sz w:val="20"/>
                <w:lang w:val="en-US"/>
              </w:rPr>
              <w:t xml:space="preserve">The objective of the TPP negotiations is to establish an FTA for the 21st century which will not only encompass the elements of a traditional FTA but also new areas i.e. </w:t>
            </w:r>
            <w:r w:rsidRPr="00830E32">
              <w:rPr>
                <w:rFonts w:ascii="Calibri" w:hAnsi="Calibri"/>
                <w:i/>
                <w:sz w:val="20"/>
                <w:lang w:val="en-US"/>
              </w:rPr>
              <w:t>Government Procurement, Competition, IPR, Labour, Environment and Horizontal Issues (Regional Integration, Regulatory Coherence, Competitiveness and Supply Chain, Development and SMEs)</w:t>
            </w:r>
            <w:r w:rsidRPr="00830E32">
              <w:rPr>
                <w:rFonts w:ascii="Calibri" w:hAnsi="Calibri"/>
                <w:sz w:val="20"/>
                <w:lang w:val="en-US"/>
              </w:rPr>
              <w:t>.</w:t>
            </w:r>
          </w:p>
          <w:p w:rsidR="00830E32" w:rsidRPr="00830E32" w:rsidRDefault="00830E32" w:rsidP="00830E32">
            <w:pPr>
              <w:rPr>
                <w:rFonts w:ascii="Calibri" w:hAnsi="Calibri"/>
                <w:sz w:val="20"/>
                <w:lang w:val="en-US"/>
              </w:rPr>
            </w:pPr>
          </w:p>
          <w:p w:rsidR="00830E32" w:rsidRDefault="00830E32" w:rsidP="00830E32">
            <w:pPr>
              <w:rPr>
                <w:rFonts w:ascii="Calibri" w:hAnsi="Calibri"/>
                <w:sz w:val="20"/>
                <w:lang w:val="en-US"/>
              </w:rPr>
            </w:pPr>
            <w:r w:rsidRPr="00830E32">
              <w:rPr>
                <w:rFonts w:ascii="Calibri" w:hAnsi="Calibri"/>
                <w:sz w:val="20"/>
                <w:lang w:val="en-US"/>
              </w:rPr>
              <w:t>The aim is to develop a living agreement that not only effectively deals with current issues, concerns and interest of international business but also be able to evolve and deal with issues, concerns and interest that may arise in the future. A living agreement will also enable other countries to join the TPP in future.</w:t>
            </w:r>
          </w:p>
          <w:p w:rsidR="00830E32" w:rsidRDefault="00830E32" w:rsidP="00830E32">
            <w:pPr>
              <w:rPr>
                <w:rFonts w:ascii="Calibri" w:hAnsi="Calibri"/>
                <w:sz w:val="20"/>
                <w:lang w:val="en-US"/>
              </w:rPr>
            </w:pPr>
          </w:p>
          <w:p w:rsidR="00830E32" w:rsidRPr="00BF37B1" w:rsidRDefault="00830E32" w:rsidP="00830E32">
            <w:pPr>
              <w:rPr>
                <w:rFonts w:ascii="Calibri" w:hAnsi="Calibri"/>
                <w:sz w:val="20"/>
              </w:rPr>
            </w:pPr>
            <w:r>
              <w:rPr>
                <w:rFonts w:ascii="Calibri" w:hAnsi="Calibri"/>
                <w:sz w:val="20"/>
                <w:lang w:val="en-US"/>
              </w:rPr>
              <w:t>Negotiators have achieved a broad outline of the agreement in 2011 and are working to conclude negotiations in 2012.</w:t>
            </w:r>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57" w:name="Agreement05"/>
          </w:p>
          <w:p w:rsidR="00CB6A57" w:rsidRPr="00BF37B1" w:rsidRDefault="00CB6A57">
            <w:pPr>
              <w:rPr>
                <w:rFonts w:ascii="Calibri" w:hAnsi="Calibri"/>
                <w:b/>
                <w:i/>
                <w:sz w:val="20"/>
              </w:rPr>
            </w:pPr>
            <w:r w:rsidRPr="00BF37B1">
              <w:rPr>
                <w:rFonts w:ascii="Calibri" w:hAnsi="Calibri"/>
                <w:b/>
                <w:i/>
                <w:sz w:val="20"/>
              </w:rPr>
              <w:t>Agreement #5</w:t>
            </w:r>
            <w:bookmarkEnd w:id="57"/>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58" w:name="A05"/>
            <w:bookmarkEnd w:id="58"/>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59" w:name="Agreement06"/>
          </w:p>
          <w:p w:rsidR="00CB6A57" w:rsidRPr="00BF37B1" w:rsidRDefault="00CB6A57">
            <w:pPr>
              <w:rPr>
                <w:rFonts w:ascii="Calibri" w:hAnsi="Calibri"/>
                <w:b/>
                <w:i/>
                <w:sz w:val="20"/>
              </w:rPr>
            </w:pPr>
            <w:r w:rsidRPr="00BF37B1">
              <w:rPr>
                <w:rFonts w:ascii="Calibri" w:hAnsi="Calibri"/>
                <w:b/>
                <w:i/>
                <w:sz w:val="20"/>
              </w:rPr>
              <w:t>Agreement #6</w:t>
            </w:r>
            <w:bookmarkEnd w:id="59"/>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60" w:name="A06"/>
            <w:bookmarkEnd w:id="60"/>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61" w:name="Agreement07"/>
          </w:p>
          <w:p w:rsidR="00CB6A57" w:rsidRPr="00BF37B1" w:rsidRDefault="00CB6A57">
            <w:pPr>
              <w:rPr>
                <w:rFonts w:ascii="Calibri" w:hAnsi="Calibri"/>
                <w:b/>
                <w:i/>
                <w:sz w:val="20"/>
              </w:rPr>
            </w:pPr>
            <w:r w:rsidRPr="00BF37B1">
              <w:rPr>
                <w:rFonts w:ascii="Calibri" w:hAnsi="Calibri"/>
                <w:b/>
                <w:i/>
                <w:sz w:val="20"/>
              </w:rPr>
              <w:t>Agreement #7</w:t>
            </w:r>
            <w:bookmarkEnd w:id="61"/>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62" w:name="A07"/>
            <w:bookmarkEnd w:id="62"/>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63" w:name="Agreement08"/>
          </w:p>
          <w:p w:rsidR="00CB6A57" w:rsidRPr="00BF37B1" w:rsidRDefault="00CB6A57">
            <w:pPr>
              <w:rPr>
                <w:rFonts w:ascii="Calibri" w:hAnsi="Calibri"/>
                <w:b/>
                <w:i/>
                <w:sz w:val="20"/>
              </w:rPr>
            </w:pPr>
            <w:r w:rsidRPr="00BF37B1">
              <w:rPr>
                <w:rFonts w:ascii="Calibri" w:hAnsi="Calibri"/>
                <w:b/>
                <w:i/>
                <w:sz w:val="20"/>
              </w:rPr>
              <w:t>Agreement #8</w:t>
            </w:r>
            <w:bookmarkEnd w:id="63"/>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64" w:name="A08"/>
            <w:bookmarkEnd w:id="64"/>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65" w:name="Agreement09"/>
          </w:p>
          <w:p w:rsidR="00CB6A57" w:rsidRPr="00BF37B1" w:rsidRDefault="00CB6A57">
            <w:pPr>
              <w:rPr>
                <w:rFonts w:ascii="Calibri" w:hAnsi="Calibri"/>
                <w:b/>
                <w:i/>
                <w:sz w:val="20"/>
              </w:rPr>
            </w:pPr>
            <w:r w:rsidRPr="00BF37B1">
              <w:rPr>
                <w:rFonts w:ascii="Calibri" w:hAnsi="Calibri"/>
                <w:b/>
                <w:i/>
                <w:sz w:val="20"/>
              </w:rPr>
              <w:t>Agreement #9</w:t>
            </w:r>
            <w:bookmarkEnd w:id="65"/>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66" w:name="A09"/>
            <w:bookmarkEnd w:id="66"/>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67" w:name="Agreement10"/>
          </w:p>
          <w:p w:rsidR="00CB6A57" w:rsidRPr="00BF37B1" w:rsidRDefault="00CB6A57">
            <w:pPr>
              <w:rPr>
                <w:rFonts w:ascii="Calibri" w:hAnsi="Calibri"/>
                <w:b/>
                <w:i/>
                <w:sz w:val="20"/>
              </w:rPr>
            </w:pPr>
            <w:r w:rsidRPr="00BF37B1">
              <w:rPr>
                <w:rFonts w:ascii="Calibri" w:hAnsi="Calibri"/>
                <w:b/>
                <w:i/>
                <w:sz w:val="20"/>
              </w:rPr>
              <w:t>Agreement #10</w:t>
            </w:r>
            <w:bookmarkEnd w:id="67"/>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68" w:name="A10"/>
            <w:bookmarkEnd w:id="68"/>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69" w:name="Agreement11"/>
          </w:p>
          <w:p w:rsidR="00CB6A57" w:rsidRPr="00BF37B1" w:rsidRDefault="00CB6A57">
            <w:pPr>
              <w:rPr>
                <w:rFonts w:ascii="Calibri" w:hAnsi="Calibri"/>
                <w:b/>
                <w:i/>
                <w:sz w:val="20"/>
              </w:rPr>
            </w:pPr>
            <w:r w:rsidRPr="00BF37B1">
              <w:rPr>
                <w:rFonts w:ascii="Calibri" w:hAnsi="Calibri"/>
                <w:b/>
                <w:i/>
                <w:sz w:val="20"/>
              </w:rPr>
              <w:t>Agreement #11</w:t>
            </w:r>
            <w:bookmarkEnd w:id="69"/>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70" w:name="A11"/>
            <w:bookmarkEnd w:id="70"/>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71" w:name="Agreement12"/>
          </w:p>
          <w:p w:rsidR="00CB6A57" w:rsidRPr="00BF37B1" w:rsidRDefault="00CB6A57">
            <w:pPr>
              <w:rPr>
                <w:rFonts w:ascii="Calibri" w:hAnsi="Calibri"/>
                <w:b/>
                <w:i/>
                <w:sz w:val="20"/>
              </w:rPr>
            </w:pPr>
            <w:r w:rsidRPr="00BF37B1">
              <w:rPr>
                <w:rFonts w:ascii="Calibri" w:hAnsi="Calibri"/>
                <w:b/>
                <w:i/>
                <w:sz w:val="20"/>
              </w:rPr>
              <w:t>Agreement #12</w:t>
            </w:r>
            <w:bookmarkEnd w:id="71"/>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72" w:name="A12"/>
            <w:bookmarkEnd w:id="72"/>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73" w:name="Agreement13"/>
          </w:p>
          <w:p w:rsidR="00CB6A57" w:rsidRPr="00BF37B1" w:rsidRDefault="00CB6A57">
            <w:pPr>
              <w:rPr>
                <w:rFonts w:ascii="Calibri" w:hAnsi="Calibri"/>
                <w:b/>
                <w:i/>
                <w:sz w:val="20"/>
              </w:rPr>
            </w:pPr>
            <w:r w:rsidRPr="00BF37B1">
              <w:rPr>
                <w:rFonts w:ascii="Calibri" w:hAnsi="Calibri"/>
                <w:b/>
                <w:i/>
                <w:sz w:val="20"/>
              </w:rPr>
              <w:t>Agreement #13</w:t>
            </w:r>
            <w:bookmarkEnd w:id="73"/>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74" w:name="A13"/>
            <w:bookmarkEnd w:id="74"/>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75" w:name="Agreement14"/>
          </w:p>
          <w:p w:rsidR="00CB6A57" w:rsidRPr="00BF37B1" w:rsidRDefault="00CB6A57">
            <w:pPr>
              <w:rPr>
                <w:rFonts w:ascii="Calibri" w:hAnsi="Calibri"/>
                <w:b/>
                <w:i/>
                <w:sz w:val="20"/>
              </w:rPr>
            </w:pPr>
            <w:r w:rsidRPr="00BF37B1">
              <w:rPr>
                <w:rFonts w:ascii="Calibri" w:hAnsi="Calibri"/>
                <w:b/>
                <w:i/>
                <w:sz w:val="20"/>
              </w:rPr>
              <w:t>Agreement #14</w:t>
            </w:r>
            <w:bookmarkEnd w:id="75"/>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76" w:name="A14"/>
            <w:bookmarkEnd w:id="76"/>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77" w:name="Agreement15"/>
          </w:p>
          <w:p w:rsidR="00CB6A57" w:rsidRPr="00BF37B1" w:rsidRDefault="00CB6A57">
            <w:pPr>
              <w:rPr>
                <w:rFonts w:ascii="Calibri" w:hAnsi="Calibri"/>
                <w:b/>
                <w:i/>
                <w:sz w:val="20"/>
              </w:rPr>
            </w:pPr>
            <w:r w:rsidRPr="00BF37B1">
              <w:rPr>
                <w:rFonts w:ascii="Calibri" w:hAnsi="Calibri"/>
                <w:b/>
                <w:i/>
                <w:sz w:val="20"/>
              </w:rPr>
              <w:t>Agreement #15</w:t>
            </w:r>
            <w:bookmarkEnd w:id="77"/>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78" w:name="A15"/>
            <w:bookmarkEnd w:id="78"/>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79" w:name="Agreement16"/>
          </w:p>
          <w:p w:rsidR="00CB6A57" w:rsidRPr="00BF37B1" w:rsidRDefault="00CB6A57">
            <w:pPr>
              <w:rPr>
                <w:rFonts w:ascii="Calibri" w:hAnsi="Calibri"/>
                <w:b/>
                <w:i/>
                <w:sz w:val="20"/>
              </w:rPr>
            </w:pPr>
            <w:r w:rsidRPr="00BF37B1">
              <w:rPr>
                <w:rFonts w:ascii="Calibri" w:hAnsi="Calibri"/>
                <w:b/>
                <w:i/>
                <w:sz w:val="20"/>
              </w:rPr>
              <w:t>Agreement #16</w:t>
            </w:r>
            <w:bookmarkEnd w:id="79"/>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80" w:name="A16"/>
            <w:bookmarkEnd w:id="80"/>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81" w:name="Agreement17"/>
          </w:p>
          <w:p w:rsidR="00CB6A57" w:rsidRPr="00BF37B1" w:rsidRDefault="00CB6A57">
            <w:pPr>
              <w:rPr>
                <w:rFonts w:ascii="Calibri" w:hAnsi="Calibri"/>
                <w:b/>
                <w:i/>
                <w:sz w:val="20"/>
              </w:rPr>
            </w:pPr>
            <w:r w:rsidRPr="00BF37B1">
              <w:rPr>
                <w:rFonts w:ascii="Calibri" w:hAnsi="Calibri"/>
                <w:b/>
                <w:i/>
                <w:sz w:val="20"/>
              </w:rPr>
              <w:t>Agreement #17</w:t>
            </w:r>
            <w:bookmarkEnd w:id="81"/>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82" w:name="A17"/>
            <w:bookmarkEnd w:id="82"/>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83" w:name="Agreement18"/>
          </w:p>
          <w:p w:rsidR="00CB6A57" w:rsidRPr="00BF37B1" w:rsidRDefault="00CB6A57">
            <w:pPr>
              <w:rPr>
                <w:rFonts w:ascii="Calibri" w:hAnsi="Calibri"/>
                <w:b/>
                <w:i/>
                <w:sz w:val="20"/>
              </w:rPr>
            </w:pPr>
            <w:r w:rsidRPr="00BF37B1">
              <w:rPr>
                <w:rFonts w:ascii="Calibri" w:hAnsi="Calibri"/>
                <w:b/>
                <w:i/>
                <w:sz w:val="20"/>
              </w:rPr>
              <w:t>Agreement #18</w:t>
            </w:r>
            <w:bookmarkEnd w:id="83"/>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84" w:name="A18"/>
            <w:bookmarkEnd w:id="84"/>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85" w:name="Agreement19"/>
          </w:p>
          <w:p w:rsidR="00CB6A57" w:rsidRPr="00BF37B1" w:rsidRDefault="00CB6A57">
            <w:pPr>
              <w:rPr>
                <w:rFonts w:ascii="Calibri" w:hAnsi="Calibri"/>
                <w:b/>
                <w:i/>
                <w:sz w:val="20"/>
              </w:rPr>
            </w:pPr>
            <w:r w:rsidRPr="00BF37B1">
              <w:rPr>
                <w:rFonts w:ascii="Calibri" w:hAnsi="Calibri"/>
                <w:b/>
                <w:i/>
                <w:sz w:val="20"/>
              </w:rPr>
              <w:t>Agreement #19</w:t>
            </w:r>
            <w:bookmarkEnd w:id="85"/>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86" w:name="A19"/>
            <w:bookmarkEnd w:id="86"/>
          </w:p>
          <w:p w:rsidR="00CB6A57" w:rsidRPr="00BF37B1" w:rsidRDefault="00CB6A57">
            <w:pPr>
              <w:rPr>
                <w:rFonts w:ascii="Calibri" w:hAnsi="Calibri"/>
                <w:sz w:val="20"/>
              </w:rPr>
            </w:pPr>
          </w:p>
        </w:tc>
      </w:tr>
      <w:tr w:rsidR="00CB6A57" w:rsidRPr="00BF37B1">
        <w:trPr>
          <w:gridAfter w:val="1"/>
          <w:wAfter w:w="17" w:type="dxa"/>
          <w:cantSplit/>
        </w:trPr>
        <w:tc>
          <w:tcPr>
            <w:tcW w:w="764" w:type="dxa"/>
            <w:vMerge/>
          </w:tcPr>
          <w:p w:rsidR="00CB6A57" w:rsidRPr="00BF37B1" w:rsidRDefault="00CB6A57">
            <w:pPr>
              <w:rPr>
                <w:rFonts w:ascii="Calibri" w:hAnsi="Calibri"/>
                <w:b/>
                <w:i/>
                <w:sz w:val="20"/>
              </w:rPr>
            </w:pPr>
          </w:p>
        </w:tc>
        <w:tc>
          <w:tcPr>
            <w:tcW w:w="2760" w:type="dxa"/>
          </w:tcPr>
          <w:p w:rsidR="00CB6A57" w:rsidRPr="00BF37B1" w:rsidRDefault="00CB6A57">
            <w:pPr>
              <w:rPr>
                <w:rFonts w:ascii="Calibri" w:hAnsi="Calibri"/>
                <w:b/>
                <w:i/>
                <w:sz w:val="20"/>
              </w:rPr>
            </w:pPr>
            <w:bookmarkStart w:id="87" w:name="Agreement20"/>
          </w:p>
          <w:p w:rsidR="00CB6A57" w:rsidRPr="00BF37B1" w:rsidRDefault="00CB6A57">
            <w:pPr>
              <w:rPr>
                <w:rFonts w:ascii="Calibri" w:hAnsi="Calibri"/>
                <w:b/>
                <w:i/>
                <w:sz w:val="20"/>
              </w:rPr>
            </w:pPr>
            <w:r w:rsidRPr="00BF37B1">
              <w:rPr>
                <w:rFonts w:ascii="Calibri" w:hAnsi="Calibri"/>
                <w:b/>
                <w:i/>
                <w:sz w:val="20"/>
              </w:rPr>
              <w:t>Agreement #20</w:t>
            </w:r>
            <w:bookmarkEnd w:id="87"/>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88" w:name="A20"/>
            <w:bookmarkEnd w:id="88"/>
          </w:p>
          <w:p w:rsidR="00CB6A57" w:rsidRPr="00BF37B1" w:rsidRDefault="00CB6A57">
            <w:pPr>
              <w:rPr>
                <w:rFonts w:ascii="Calibri" w:hAnsi="Calibri"/>
                <w:sz w:val="20"/>
              </w:rPr>
            </w:pPr>
          </w:p>
        </w:tc>
      </w:tr>
      <w:tr w:rsidR="00CB6A57" w:rsidRPr="00BF37B1">
        <w:trPr>
          <w:gridAfter w:val="1"/>
          <w:wAfter w:w="17" w:type="dxa"/>
          <w:cantSplit/>
        </w:trPr>
        <w:tc>
          <w:tcPr>
            <w:tcW w:w="3524" w:type="dxa"/>
            <w:gridSpan w:val="2"/>
          </w:tcPr>
          <w:p w:rsidR="00CB6A57" w:rsidRPr="00BF37B1" w:rsidRDefault="00CB6A57">
            <w:pPr>
              <w:rPr>
                <w:rFonts w:ascii="Calibri" w:hAnsi="Calibri"/>
                <w:b/>
                <w:i/>
                <w:sz w:val="20"/>
              </w:rPr>
            </w:pPr>
          </w:p>
          <w:p w:rsidR="00CB6A57" w:rsidRPr="00BF37B1" w:rsidRDefault="00CB6A57">
            <w:pPr>
              <w:rPr>
                <w:rFonts w:ascii="Calibri" w:hAnsi="Calibri"/>
                <w:b/>
                <w:i/>
                <w:sz w:val="20"/>
              </w:rPr>
            </w:pPr>
            <w:r w:rsidRPr="00BF37B1">
              <w:rPr>
                <w:rFonts w:ascii="Calibri" w:hAnsi="Calibri"/>
                <w:b/>
                <w:i/>
                <w:sz w:val="20"/>
              </w:rPr>
              <w:t xml:space="preserve">- </w:t>
            </w:r>
            <w:bookmarkStart w:id="89" w:name="future"/>
            <w:r w:rsidRPr="00BF37B1">
              <w:rPr>
                <w:rFonts w:ascii="Calibri" w:hAnsi="Calibri"/>
                <w:b/>
                <w:i/>
                <w:sz w:val="20"/>
              </w:rPr>
              <w:t>Future plans</w:t>
            </w:r>
            <w:bookmarkEnd w:id="89"/>
          </w:p>
          <w:p w:rsidR="00CB6A57" w:rsidRPr="00BF37B1" w:rsidRDefault="00CB6A57">
            <w:pPr>
              <w:rPr>
                <w:rFonts w:ascii="Calibri" w:hAnsi="Calibri"/>
                <w:b/>
                <w:i/>
                <w:sz w:val="20"/>
              </w:rPr>
            </w:pPr>
          </w:p>
        </w:tc>
        <w:tc>
          <w:tcPr>
            <w:tcW w:w="11040" w:type="dxa"/>
          </w:tcPr>
          <w:p w:rsidR="00CB6A57" w:rsidRPr="00BF37B1" w:rsidRDefault="00CB6A57">
            <w:pPr>
              <w:rPr>
                <w:rFonts w:ascii="Calibri" w:hAnsi="Calibri"/>
                <w:sz w:val="20"/>
              </w:rPr>
            </w:pPr>
            <w:bookmarkStart w:id="90" w:name="cell34"/>
            <w:bookmarkEnd w:id="90"/>
          </w:p>
          <w:p w:rsidR="00CB6A57" w:rsidRDefault="00830E32">
            <w:pPr>
              <w:rPr>
                <w:rFonts w:ascii="Calibri" w:hAnsi="Calibri"/>
                <w:sz w:val="20"/>
              </w:rPr>
            </w:pPr>
            <w:r>
              <w:rPr>
                <w:rFonts w:ascii="Calibri" w:hAnsi="Calibri"/>
                <w:sz w:val="20"/>
              </w:rPr>
              <w:t>Malaysia is working to commence negotiations with the Gulf Cooperation Council (</w:t>
            </w:r>
            <w:r w:rsidRPr="00AB27E1">
              <w:rPr>
                <w:rFonts w:ascii="Calibri" w:hAnsi="Calibri"/>
                <w:sz w:val="20"/>
              </w:rPr>
              <w:t>GCC)</w:t>
            </w:r>
            <w:r w:rsidR="001259DB">
              <w:rPr>
                <w:rFonts w:ascii="Calibri" w:hAnsi="Calibri"/>
                <w:sz w:val="20"/>
              </w:rPr>
              <w:t xml:space="preserve"> </w:t>
            </w:r>
            <w:r w:rsidRPr="00AB27E1">
              <w:rPr>
                <w:rFonts w:ascii="Calibri" w:hAnsi="Calibri"/>
                <w:sz w:val="20"/>
              </w:rPr>
              <w:t>and</w:t>
            </w:r>
            <w:r>
              <w:rPr>
                <w:rFonts w:ascii="Calibri" w:hAnsi="Calibri"/>
                <w:sz w:val="20"/>
              </w:rPr>
              <w:t xml:space="preserve"> Bangladesh. Preliminary discussions have commenced on these initiatives.</w:t>
            </w:r>
          </w:p>
          <w:p w:rsidR="00830E32" w:rsidRPr="00BF37B1" w:rsidRDefault="00830E32">
            <w:pPr>
              <w:rPr>
                <w:rFonts w:ascii="Calibri" w:hAnsi="Calibri"/>
                <w:sz w:val="20"/>
              </w:rPr>
            </w:pPr>
          </w:p>
        </w:tc>
      </w:tr>
      <w:tr w:rsidR="0001261C" w:rsidRPr="00BF37B1">
        <w:trPr>
          <w:gridAfter w:val="1"/>
          <w:wAfter w:w="17" w:type="dxa"/>
          <w:cantSplit/>
        </w:trPr>
        <w:tc>
          <w:tcPr>
            <w:tcW w:w="3524" w:type="dxa"/>
            <w:gridSpan w:val="2"/>
          </w:tcPr>
          <w:p w:rsidR="001A1859" w:rsidRPr="00BF37B1" w:rsidRDefault="001A1859" w:rsidP="0001261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11040" w:type="dxa"/>
          </w:tcPr>
          <w:p w:rsidR="001A1859" w:rsidRPr="00860BC4" w:rsidRDefault="00830E32" w:rsidP="0001261C">
            <w:pPr>
              <w:pStyle w:val="Heading9"/>
              <w:rPr>
                <w:rFonts w:ascii="Calibri" w:hAnsi="Calibri"/>
                <w:b w:val="0"/>
              </w:rPr>
            </w:pPr>
            <w:r w:rsidRPr="00860BC4">
              <w:rPr>
                <w:rFonts w:ascii="Calibri" w:hAnsi="Calibri"/>
                <w:b w:val="0"/>
              </w:rPr>
              <w:t>http://www.miti.gov.my</w:t>
            </w:r>
          </w:p>
        </w:tc>
      </w:tr>
      <w:tr w:rsidR="0001261C" w:rsidRPr="00BF37B1">
        <w:trPr>
          <w:gridAfter w:val="1"/>
          <w:wAfter w:w="17" w:type="dxa"/>
          <w:cantSplit/>
        </w:trPr>
        <w:tc>
          <w:tcPr>
            <w:tcW w:w="3524" w:type="dxa"/>
            <w:gridSpan w:val="2"/>
          </w:tcPr>
          <w:p w:rsidR="001A1859" w:rsidRPr="00BF37B1" w:rsidRDefault="001A1859" w:rsidP="0001261C">
            <w:pPr>
              <w:pStyle w:val="Heading9"/>
              <w:rPr>
                <w:rFonts w:ascii="Calibri" w:hAnsi="Calibri"/>
                <w:b w:val="0"/>
                <w:color w:val="808080"/>
              </w:rPr>
            </w:pPr>
            <w:r w:rsidRPr="00BF37B1">
              <w:rPr>
                <w:rFonts w:ascii="Calibri" w:hAnsi="Calibri"/>
                <w:b w:val="0"/>
                <w:color w:val="808080"/>
              </w:rPr>
              <w:t>Contact point for further details:</w:t>
            </w:r>
          </w:p>
        </w:tc>
        <w:tc>
          <w:tcPr>
            <w:tcW w:w="11040" w:type="dxa"/>
          </w:tcPr>
          <w:p w:rsidR="001A1859" w:rsidRPr="00860BC4" w:rsidRDefault="0087329D" w:rsidP="0001261C">
            <w:pPr>
              <w:pStyle w:val="Heading9"/>
              <w:rPr>
                <w:rFonts w:ascii="Calibri" w:hAnsi="Calibri"/>
                <w:b w:val="0"/>
              </w:rPr>
            </w:pPr>
            <w:r w:rsidRPr="00860BC4">
              <w:rPr>
                <w:rFonts w:ascii="Calibri" w:hAnsi="Calibri"/>
                <w:b w:val="0"/>
              </w:rPr>
              <w:t>Peter Brian M. Wang (pbrian@miti.gov.my)</w:t>
            </w:r>
            <w:bookmarkStart w:id="91" w:name="_GoBack"/>
            <w:bookmarkEnd w:id="91"/>
          </w:p>
        </w:tc>
      </w:tr>
    </w:tbl>
    <w:p w:rsidR="00CB6A57" w:rsidRDefault="00CB6A57">
      <w:pPr>
        <w:pStyle w:val="Title"/>
        <w:jc w:val="both"/>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8F223D" w:rsidTr="008F223D">
        <w:tc>
          <w:tcPr>
            <w:tcW w:w="3524" w:type="dxa"/>
          </w:tcPr>
          <w:p w:rsidR="008F223D" w:rsidRPr="00BF37B1" w:rsidRDefault="008F223D" w:rsidP="00B72FF6">
            <w:pPr>
              <w:rPr>
                <w:rFonts w:ascii="Calibri" w:hAnsi="Calibri"/>
                <w:b/>
                <w:i/>
                <w:sz w:val="20"/>
              </w:rPr>
            </w:pPr>
            <w:r w:rsidRPr="00BF37B1">
              <w:rPr>
                <w:rFonts w:ascii="Calibri" w:hAnsi="Calibri"/>
                <w:b/>
                <w:i/>
                <w:sz w:val="20"/>
              </w:rPr>
              <w:t>Other voluntary reporting areas</w:t>
            </w:r>
          </w:p>
          <w:p w:rsidR="008F223D" w:rsidRPr="00BF37B1" w:rsidRDefault="008F223D" w:rsidP="00B72FF6">
            <w:pPr>
              <w:rPr>
                <w:rFonts w:ascii="Calibri" w:hAnsi="Calibri"/>
                <w:b/>
                <w:i/>
                <w:sz w:val="20"/>
              </w:rPr>
            </w:pPr>
          </w:p>
        </w:tc>
        <w:tc>
          <w:tcPr>
            <w:tcW w:w="5387" w:type="dxa"/>
          </w:tcPr>
          <w:p w:rsidR="008F223D" w:rsidRPr="00BF37B1" w:rsidRDefault="008F223D" w:rsidP="00B72FF6">
            <w:pPr>
              <w:rPr>
                <w:rFonts w:ascii="Calibri" w:hAnsi="Calibri"/>
                <w:color w:val="808080"/>
                <w:sz w:val="20"/>
              </w:rPr>
            </w:pPr>
            <w:r w:rsidRPr="00BF37B1">
              <w:rPr>
                <w:rFonts w:ascii="Calibri" w:hAnsi="Calibri" w:cs="Arial"/>
                <w:i/>
                <w:color w:val="808080"/>
                <w:sz w:val="20"/>
              </w:rPr>
              <w:t>Provide brief points only</w:t>
            </w:r>
          </w:p>
        </w:tc>
        <w:tc>
          <w:tcPr>
            <w:tcW w:w="5670" w:type="dxa"/>
          </w:tcPr>
          <w:p w:rsidR="008F223D" w:rsidRPr="00BF37B1" w:rsidRDefault="008F223D" w:rsidP="00B72FF6">
            <w:pPr>
              <w:rPr>
                <w:rFonts w:ascii="Calibri" w:hAnsi="Calibri"/>
                <w:color w:val="808080"/>
                <w:sz w:val="20"/>
              </w:rPr>
            </w:pPr>
            <w:r w:rsidRPr="00BF37B1">
              <w:rPr>
                <w:rFonts w:ascii="Calibri" w:hAnsi="Calibri" w:cs="Arial"/>
                <w:i/>
                <w:color w:val="808080"/>
                <w:sz w:val="20"/>
              </w:rPr>
              <w:t>Provide brief points only</w:t>
            </w:r>
          </w:p>
        </w:tc>
      </w:tr>
      <w:tr w:rsidR="008F223D" w:rsidRPr="008F223D" w:rsidTr="008F223D">
        <w:tc>
          <w:tcPr>
            <w:tcW w:w="3524" w:type="dxa"/>
          </w:tcPr>
          <w:p w:rsidR="008F223D" w:rsidRPr="00BF37B1" w:rsidRDefault="008F223D" w:rsidP="00B72FF6">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rsidR="008F223D" w:rsidRPr="00BF37B1" w:rsidRDefault="008F223D" w:rsidP="00B72FF6">
            <w:pPr>
              <w:pStyle w:val="Heading9"/>
              <w:rPr>
                <w:rFonts w:ascii="Calibri" w:hAnsi="Calibri"/>
                <w:b w:val="0"/>
              </w:rPr>
            </w:pPr>
          </w:p>
        </w:tc>
        <w:tc>
          <w:tcPr>
            <w:tcW w:w="5670" w:type="dxa"/>
          </w:tcPr>
          <w:p w:rsidR="008F223D" w:rsidRPr="00BF37B1" w:rsidRDefault="008F223D" w:rsidP="00B72FF6">
            <w:pPr>
              <w:pStyle w:val="Heading9"/>
              <w:rPr>
                <w:rFonts w:ascii="Calibri" w:hAnsi="Calibri"/>
                <w:b w:val="0"/>
              </w:rPr>
            </w:pPr>
          </w:p>
        </w:tc>
      </w:tr>
      <w:tr w:rsidR="008F223D" w:rsidRPr="008F223D" w:rsidTr="008F223D">
        <w:tc>
          <w:tcPr>
            <w:tcW w:w="3524" w:type="dxa"/>
          </w:tcPr>
          <w:p w:rsidR="008F223D" w:rsidRPr="00BF37B1" w:rsidRDefault="008F223D" w:rsidP="00B72FF6">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rsidR="008F223D" w:rsidRPr="00BF37B1" w:rsidRDefault="008F223D" w:rsidP="00B72FF6">
            <w:pPr>
              <w:pStyle w:val="Heading9"/>
              <w:rPr>
                <w:rFonts w:ascii="Calibri" w:hAnsi="Calibri"/>
                <w:b w:val="0"/>
              </w:rPr>
            </w:pPr>
          </w:p>
        </w:tc>
        <w:tc>
          <w:tcPr>
            <w:tcW w:w="5670" w:type="dxa"/>
          </w:tcPr>
          <w:p w:rsidR="008F223D" w:rsidRPr="00BF37B1" w:rsidRDefault="008F223D" w:rsidP="00B72FF6">
            <w:pPr>
              <w:pStyle w:val="Heading9"/>
              <w:rPr>
                <w:rFonts w:ascii="Calibri" w:hAnsi="Calibri"/>
                <w:b w:val="0"/>
              </w:rPr>
            </w:pPr>
          </w:p>
        </w:tc>
      </w:tr>
    </w:tbl>
    <w:p w:rsidR="00CB6A57" w:rsidRPr="008F223D" w:rsidRDefault="00CB6A57">
      <w:pPr>
        <w:pStyle w:val="Title"/>
        <w:jc w:val="both"/>
        <w:rPr>
          <w:b w:val="0"/>
          <w:i/>
          <w:lang w:val="en-AU"/>
        </w:rPr>
      </w:pPr>
    </w:p>
    <w:sectPr w:rsidR="00CB6A57" w:rsidRPr="008F223D" w:rsidSect="009C1EEE">
      <w:headerReference w:type="even" r:id="rId32"/>
      <w:headerReference w:type="default" r:id="rId33"/>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CE5" w:rsidRDefault="00737CE5">
      <w:r>
        <w:separator/>
      </w:r>
    </w:p>
  </w:endnote>
  <w:endnote w:type="continuationSeparator" w:id="0">
    <w:p w:rsidR="00737CE5" w:rsidRDefault="00737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CE5" w:rsidRDefault="00737CE5">
      <w:r>
        <w:separator/>
      </w:r>
    </w:p>
  </w:footnote>
  <w:footnote w:type="continuationSeparator" w:id="0">
    <w:p w:rsidR="00737CE5" w:rsidRDefault="00737CE5">
      <w:r>
        <w:continuationSeparator/>
      </w:r>
    </w:p>
  </w:footnote>
  <w:footnote w:id="1">
    <w:p w:rsidR="00860BC4" w:rsidRPr="009044FF" w:rsidRDefault="00860BC4" w:rsidP="002400F3">
      <w:pPr>
        <w:pStyle w:val="FootnoteText"/>
        <w:jc w:val="both"/>
        <w:rPr>
          <w:rFonts w:ascii="Calibri" w:hAnsi="Calibri" w:cs="Arial"/>
          <w:sz w:val="18"/>
          <w:szCs w:val="18"/>
          <w:lang w:val="en-US"/>
        </w:rPr>
      </w:pPr>
      <w:r w:rsidRPr="009044FF">
        <w:rPr>
          <w:rStyle w:val="FootnoteReference"/>
          <w:rFonts w:ascii="Calibri" w:hAnsi="Calibri"/>
        </w:rPr>
        <w:footnoteRef/>
      </w:r>
      <w:r w:rsidRPr="009044FF">
        <w:rPr>
          <w:rFonts w:ascii="Calibri" w:hAnsi="Calibri" w:cs="Arial"/>
          <w:sz w:val="18"/>
          <w:szCs w:val="18"/>
          <w:lang w:val="en-US"/>
        </w:rPr>
        <w:t xml:space="preserve">Economies assessed in 2010, on the achievement of the Bogor Goals: APEC industrialized economies: Australia, Canada, Japan, New Zealand, and the United States, and volunteer developing economies: Chile; Hong Kong, China; Korea; Malaysia; Mexico; Peru; Singapore and Chinese Taipei.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C4" w:rsidRPr="00D05848" w:rsidRDefault="00860BC4" w:rsidP="00750D35">
    <w:pPr>
      <w:pStyle w:val="RptHeader-Calibri"/>
      <w:tabs>
        <w:tab w:val="clear" w:pos="8640"/>
        <w:tab w:val="right" w:pos="9000"/>
        <w:tab w:val="right" w:pos="13410"/>
      </w:tabs>
    </w:pPr>
    <w:r>
      <w:rPr>
        <w:b/>
      </w:rPr>
      <w:t>1-</w:t>
    </w:r>
    <w:r w:rsidR="00F64B41" w:rsidRPr="00193F7C">
      <w:rPr>
        <w:b/>
      </w:rPr>
      <w:fldChar w:fldCharType="begin"/>
    </w:r>
    <w:r w:rsidRPr="00193F7C">
      <w:rPr>
        <w:b/>
      </w:rPr>
      <w:instrText xml:space="preserve"> PAGE   \* MERGEFORMAT </w:instrText>
    </w:r>
    <w:r w:rsidR="00F64B41" w:rsidRPr="00193F7C">
      <w:rPr>
        <w:b/>
      </w:rPr>
      <w:fldChar w:fldCharType="separate"/>
    </w:r>
    <w:r w:rsidR="0046010A">
      <w:rPr>
        <w:b/>
        <w:noProof/>
      </w:rPr>
      <w:t>2</w:t>
    </w:r>
    <w:r w:rsidR="00F64B41" w:rsidRPr="00193F7C">
      <w:rPr>
        <w:b/>
      </w:rPr>
      <w:fldChar w:fldCharType="end"/>
    </w:r>
    <w:r>
      <w:rPr>
        <w:b/>
        <w:sz w:val="20"/>
        <w:szCs w:val="20"/>
      </w:rPr>
      <w:t xml:space="preserve"> | </w:t>
    </w:r>
    <w:r w:rsidRPr="00D05848">
      <w:t xml:space="preserve">Appendix </w:t>
    </w:r>
    <w:r>
      <w:t xml:space="preserve">1 </w:t>
    </w:r>
    <w:r>
      <w:rPr>
        <w:b/>
        <w:sz w:val="20"/>
        <w:szCs w:val="20"/>
      </w:rPr>
      <w:tab/>
    </w:r>
    <w:r>
      <w:rPr>
        <w:b/>
        <w:sz w:val="20"/>
        <w:szCs w:val="20"/>
      </w:rPr>
      <w:tab/>
    </w:r>
    <w:r>
      <w:t>2011</w:t>
    </w:r>
    <w:r w:rsidRPr="00D05848">
      <w:t xml:space="preserve"> CTI Report to Ministers</w:t>
    </w:r>
    <w:r w:rsidRPr="00D05848">
      <w:tab/>
    </w:r>
    <w:r>
      <w:tab/>
    </w:r>
  </w:p>
  <w:p w:rsidR="00860BC4" w:rsidRDefault="00860B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C4" w:rsidRPr="00D05848" w:rsidRDefault="00860BC4" w:rsidP="00750D35">
    <w:pPr>
      <w:pStyle w:val="RptHeader-Calibri"/>
      <w:tabs>
        <w:tab w:val="clear" w:pos="8640"/>
        <w:tab w:val="right" w:pos="9000"/>
        <w:tab w:val="right" w:pos="13410"/>
      </w:tabs>
    </w:pPr>
    <w:r>
      <w:t>2011</w:t>
    </w:r>
    <w:r w:rsidRPr="00D05848">
      <w:t xml:space="preserve"> CTI Report to Ministers</w:t>
    </w:r>
    <w:r w:rsidRPr="00D05848">
      <w:tab/>
    </w:r>
    <w:r>
      <w:tab/>
    </w:r>
    <w:r w:rsidRPr="00D05848">
      <w:t xml:space="preserve">Appendix </w:t>
    </w:r>
    <w:r>
      <w:t>1</w:t>
    </w:r>
    <w:r w:rsidRPr="00D05848">
      <w:t xml:space="preserve"> |</w:t>
    </w:r>
    <w:r w:rsidRPr="00CE0E84">
      <w:rPr>
        <w:b/>
      </w:rPr>
      <w:t>1-</w:t>
    </w:r>
    <w:r w:rsidR="00F64B41" w:rsidRPr="00193F7C">
      <w:rPr>
        <w:b/>
      </w:rPr>
      <w:fldChar w:fldCharType="begin"/>
    </w:r>
    <w:r w:rsidRPr="00193F7C">
      <w:rPr>
        <w:b/>
      </w:rPr>
      <w:instrText xml:space="preserve"> PAGE   \* MERGEFORMAT </w:instrText>
    </w:r>
    <w:r w:rsidR="00F64B41" w:rsidRPr="00193F7C">
      <w:rPr>
        <w:b/>
      </w:rPr>
      <w:fldChar w:fldCharType="separate"/>
    </w:r>
    <w:r w:rsidR="0046010A">
      <w:rPr>
        <w:b/>
        <w:noProof/>
      </w:rPr>
      <w:t>3</w:t>
    </w:r>
    <w:r w:rsidR="00F64B41" w:rsidRPr="00193F7C">
      <w:rPr>
        <w:b/>
      </w:rPr>
      <w:fldChar w:fldCharType="end"/>
    </w:r>
  </w:p>
  <w:p w:rsidR="00860BC4" w:rsidRDefault="00860B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C4" w:rsidRPr="00D05848" w:rsidRDefault="00F64B41" w:rsidP="00750D35">
    <w:pPr>
      <w:pStyle w:val="RptHeader-Calibri"/>
      <w:tabs>
        <w:tab w:val="clear" w:pos="8640"/>
        <w:tab w:val="right" w:pos="13860"/>
      </w:tabs>
    </w:pPr>
    <w:r w:rsidRPr="00193F7C">
      <w:rPr>
        <w:b/>
      </w:rPr>
      <w:fldChar w:fldCharType="begin"/>
    </w:r>
    <w:r w:rsidR="00860BC4" w:rsidRPr="00193F7C">
      <w:rPr>
        <w:b/>
      </w:rPr>
      <w:instrText xml:space="preserve"> PAGE   \* MERGEFORMAT </w:instrText>
    </w:r>
    <w:r w:rsidRPr="00193F7C">
      <w:rPr>
        <w:b/>
      </w:rPr>
      <w:fldChar w:fldCharType="separate"/>
    </w:r>
    <w:r w:rsidR="0046010A">
      <w:rPr>
        <w:b/>
        <w:noProof/>
      </w:rPr>
      <w:t>24</w:t>
    </w:r>
    <w:r w:rsidRPr="00193F7C">
      <w:rPr>
        <w:b/>
      </w:rPr>
      <w:fldChar w:fldCharType="end"/>
    </w:r>
    <w:r w:rsidR="00860BC4">
      <w:rPr>
        <w:b/>
        <w:sz w:val="20"/>
        <w:szCs w:val="20"/>
      </w:rPr>
      <w:t xml:space="preserve"> | </w:t>
    </w:r>
    <w:r w:rsidR="00860BC4" w:rsidRPr="00D05848">
      <w:t xml:space="preserve">Appendix </w:t>
    </w:r>
    <w:r w:rsidR="00860BC4">
      <w:t xml:space="preserve">1 </w:t>
    </w:r>
    <w:r w:rsidR="00860BC4">
      <w:rPr>
        <w:b/>
        <w:sz w:val="20"/>
        <w:szCs w:val="20"/>
      </w:rPr>
      <w:tab/>
    </w:r>
    <w:r w:rsidR="00860BC4">
      <w:rPr>
        <w:b/>
        <w:sz w:val="20"/>
        <w:szCs w:val="20"/>
      </w:rPr>
      <w:tab/>
    </w:r>
    <w:r w:rsidR="00860BC4">
      <w:t>2011</w:t>
    </w:r>
    <w:r w:rsidR="00860BC4" w:rsidRPr="00D05848">
      <w:t xml:space="preserve"> CTI Report to Ministers</w:t>
    </w:r>
    <w:r w:rsidR="00860BC4" w:rsidRPr="00D05848">
      <w:tab/>
    </w:r>
    <w:r w:rsidR="00860BC4">
      <w:tab/>
    </w:r>
  </w:p>
  <w:p w:rsidR="00860BC4" w:rsidRDefault="00860BC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C4" w:rsidRPr="00D05848" w:rsidRDefault="00860BC4" w:rsidP="00750D35">
    <w:pPr>
      <w:pStyle w:val="RptHeader-Calibri"/>
      <w:tabs>
        <w:tab w:val="clear" w:pos="8640"/>
        <w:tab w:val="right" w:pos="13860"/>
      </w:tabs>
    </w:pPr>
    <w:r>
      <w:t>2011</w:t>
    </w:r>
    <w:r w:rsidRPr="00D05848">
      <w:t xml:space="preserve"> CTI Report to Ministers</w:t>
    </w:r>
    <w:r w:rsidRPr="00D05848">
      <w:tab/>
    </w:r>
    <w:r>
      <w:tab/>
    </w:r>
    <w:r w:rsidRPr="00D05848">
      <w:t xml:space="preserve">Appendix </w:t>
    </w:r>
    <w:r>
      <w:t>1</w:t>
    </w:r>
    <w:r w:rsidRPr="00D05848">
      <w:t xml:space="preserve"> | </w:t>
    </w:r>
    <w:r w:rsidR="00F64B41" w:rsidRPr="00193F7C">
      <w:rPr>
        <w:b/>
      </w:rPr>
      <w:fldChar w:fldCharType="begin"/>
    </w:r>
    <w:r w:rsidRPr="00193F7C">
      <w:rPr>
        <w:b/>
      </w:rPr>
      <w:instrText xml:space="preserve"> PAGE   \* MERGEFORMAT </w:instrText>
    </w:r>
    <w:r w:rsidR="00F64B41" w:rsidRPr="00193F7C">
      <w:rPr>
        <w:b/>
      </w:rPr>
      <w:fldChar w:fldCharType="separate"/>
    </w:r>
    <w:r w:rsidR="0046010A">
      <w:rPr>
        <w:b/>
        <w:noProof/>
      </w:rPr>
      <w:t>23</w:t>
    </w:r>
    <w:r w:rsidR="00F64B41" w:rsidRPr="00193F7C">
      <w:rPr>
        <w:b/>
      </w:rPr>
      <w:fldChar w:fldCharType="end"/>
    </w:r>
  </w:p>
  <w:p w:rsidR="00860BC4" w:rsidRDefault="00860B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BB0"/>
    <w:multiLevelType w:val="hybridMultilevel"/>
    <w:tmpl w:val="B3F0747A"/>
    <w:lvl w:ilvl="0" w:tplc="5C2ED966">
      <w:start w:val="1"/>
      <w:numFmt w:val="decimal"/>
      <w:lvlText w:val="%1."/>
      <w:lvlJc w:val="left"/>
      <w:pPr>
        <w:ind w:left="720" w:hanging="360"/>
      </w:pPr>
      <w:rPr>
        <w:rFonts w:cs="Arial" w:hint="default"/>
        <w: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5163EE9"/>
    <w:multiLevelType w:val="hybridMultilevel"/>
    <w:tmpl w:val="53707932"/>
    <w:lvl w:ilvl="0" w:tplc="A8E4A42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472B7"/>
    <w:multiLevelType w:val="hybridMultilevel"/>
    <w:tmpl w:val="79423770"/>
    <w:lvl w:ilvl="0" w:tplc="6CEAACB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93F6A41"/>
    <w:multiLevelType w:val="hybridMultilevel"/>
    <w:tmpl w:val="FBBC1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8B3791"/>
    <w:multiLevelType w:val="hybridMultilevel"/>
    <w:tmpl w:val="00EE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35F1D"/>
    <w:multiLevelType w:val="hybridMultilevel"/>
    <w:tmpl w:val="501CC62E"/>
    <w:lvl w:ilvl="0" w:tplc="0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09B0545B"/>
    <w:multiLevelType w:val="hybridMultilevel"/>
    <w:tmpl w:val="DCF2D196"/>
    <w:lvl w:ilvl="0" w:tplc="83AE1B64">
      <w:start w:val="2585"/>
      <w:numFmt w:val="bullet"/>
      <w:lvlText w:val=""/>
      <w:lvlJc w:val="left"/>
      <w:pPr>
        <w:ind w:left="1199" w:hanging="360"/>
      </w:pPr>
      <w:rPr>
        <w:rFonts w:ascii="Wingdings" w:hAnsi="Wingdings" w:hint="default"/>
      </w:rPr>
    </w:lvl>
    <w:lvl w:ilvl="1" w:tplc="44090003" w:tentative="1">
      <w:start w:val="1"/>
      <w:numFmt w:val="bullet"/>
      <w:lvlText w:val="o"/>
      <w:lvlJc w:val="left"/>
      <w:pPr>
        <w:ind w:left="1919" w:hanging="360"/>
      </w:pPr>
      <w:rPr>
        <w:rFonts w:ascii="Courier New" w:hAnsi="Courier New" w:cs="Courier New" w:hint="default"/>
      </w:rPr>
    </w:lvl>
    <w:lvl w:ilvl="2" w:tplc="44090005" w:tentative="1">
      <w:start w:val="1"/>
      <w:numFmt w:val="bullet"/>
      <w:lvlText w:val=""/>
      <w:lvlJc w:val="left"/>
      <w:pPr>
        <w:ind w:left="2639" w:hanging="360"/>
      </w:pPr>
      <w:rPr>
        <w:rFonts w:ascii="Wingdings" w:hAnsi="Wingdings" w:hint="default"/>
      </w:rPr>
    </w:lvl>
    <w:lvl w:ilvl="3" w:tplc="44090001" w:tentative="1">
      <w:start w:val="1"/>
      <w:numFmt w:val="bullet"/>
      <w:lvlText w:val=""/>
      <w:lvlJc w:val="left"/>
      <w:pPr>
        <w:ind w:left="3359" w:hanging="360"/>
      </w:pPr>
      <w:rPr>
        <w:rFonts w:ascii="Symbol" w:hAnsi="Symbol" w:hint="default"/>
      </w:rPr>
    </w:lvl>
    <w:lvl w:ilvl="4" w:tplc="44090003" w:tentative="1">
      <w:start w:val="1"/>
      <w:numFmt w:val="bullet"/>
      <w:lvlText w:val="o"/>
      <w:lvlJc w:val="left"/>
      <w:pPr>
        <w:ind w:left="4079" w:hanging="360"/>
      </w:pPr>
      <w:rPr>
        <w:rFonts w:ascii="Courier New" w:hAnsi="Courier New" w:cs="Courier New" w:hint="default"/>
      </w:rPr>
    </w:lvl>
    <w:lvl w:ilvl="5" w:tplc="44090005" w:tentative="1">
      <w:start w:val="1"/>
      <w:numFmt w:val="bullet"/>
      <w:lvlText w:val=""/>
      <w:lvlJc w:val="left"/>
      <w:pPr>
        <w:ind w:left="4799" w:hanging="360"/>
      </w:pPr>
      <w:rPr>
        <w:rFonts w:ascii="Wingdings" w:hAnsi="Wingdings" w:hint="default"/>
      </w:rPr>
    </w:lvl>
    <w:lvl w:ilvl="6" w:tplc="44090001" w:tentative="1">
      <w:start w:val="1"/>
      <w:numFmt w:val="bullet"/>
      <w:lvlText w:val=""/>
      <w:lvlJc w:val="left"/>
      <w:pPr>
        <w:ind w:left="5519" w:hanging="360"/>
      </w:pPr>
      <w:rPr>
        <w:rFonts w:ascii="Symbol" w:hAnsi="Symbol" w:hint="default"/>
      </w:rPr>
    </w:lvl>
    <w:lvl w:ilvl="7" w:tplc="44090003" w:tentative="1">
      <w:start w:val="1"/>
      <w:numFmt w:val="bullet"/>
      <w:lvlText w:val="o"/>
      <w:lvlJc w:val="left"/>
      <w:pPr>
        <w:ind w:left="6239" w:hanging="360"/>
      </w:pPr>
      <w:rPr>
        <w:rFonts w:ascii="Courier New" w:hAnsi="Courier New" w:cs="Courier New" w:hint="default"/>
      </w:rPr>
    </w:lvl>
    <w:lvl w:ilvl="8" w:tplc="44090005" w:tentative="1">
      <w:start w:val="1"/>
      <w:numFmt w:val="bullet"/>
      <w:lvlText w:val=""/>
      <w:lvlJc w:val="left"/>
      <w:pPr>
        <w:ind w:left="6959" w:hanging="360"/>
      </w:pPr>
      <w:rPr>
        <w:rFonts w:ascii="Wingdings" w:hAnsi="Wingdings" w:hint="default"/>
      </w:rPr>
    </w:lvl>
  </w:abstractNum>
  <w:abstractNum w:abstractNumId="7">
    <w:nsid w:val="0DE707C4"/>
    <w:multiLevelType w:val="hybridMultilevel"/>
    <w:tmpl w:val="D30AC440"/>
    <w:lvl w:ilvl="0" w:tplc="A8E4A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8955438"/>
    <w:multiLevelType w:val="hybridMultilevel"/>
    <w:tmpl w:val="82E4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11">
    <w:nsid w:val="1A1665DB"/>
    <w:multiLevelType w:val="hybridMultilevel"/>
    <w:tmpl w:val="84AE85DA"/>
    <w:lvl w:ilvl="0" w:tplc="8992133A">
      <w:start w:val="1"/>
      <w:numFmt w:val="bullet"/>
      <w:lvlText w:val="ـ"/>
      <w:lvlJc w:val="left"/>
      <w:pPr>
        <w:ind w:left="972" w:hanging="360"/>
      </w:pPr>
      <w:rPr>
        <w:rFonts w:ascii="Arial" w:hAnsi="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nsid w:val="1D8B031D"/>
    <w:multiLevelType w:val="hybridMultilevel"/>
    <w:tmpl w:val="4CACF86C"/>
    <w:lvl w:ilvl="0" w:tplc="6602F8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45F18"/>
    <w:multiLevelType w:val="hybridMultilevel"/>
    <w:tmpl w:val="2AB86286"/>
    <w:lvl w:ilvl="0" w:tplc="5A6C5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364CBA"/>
    <w:multiLevelType w:val="hybridMultilevel"/>
    <w:tmpl w:val="182250BC"/>
    <w:lvl w:ilvl="0" w:tplc="16809592">
      <w:start w:val="1"/>
      <w:numFmt w:val="decimal"/>
      <w:lvlText w:val="%1."/>
      <w:lvlJc w:val="left"/>
      <w:pPr>
        <w:tabs>
          <w:tab w:val="num" w:pos="720"/>
        </w:tabs>
        <w:ind w:left="720" w:hanging="360"/>
      </w:pPr>
    </w:lvl>
    <w:lvl w:ilvl="1" w:tplc="44090001">
      <w:start w:val="1"/>
      <w:numFmt w:val="bullet"/>
      <w:lvlText w:val=""/>
      <w:lvlJc w:val="left"/>
      <w:pPr>
        <w:tabs>
          <w:tab w:val="num" w:pos="1440"/>
        </w:tabs>
        <w:ind w:left="1440" w:hanging="360"/>
      </w:pPr>
      <w:rPr>
        <w:rFonts w:ascii="Symbol" w:hAnsi="Symbol" w:hint="default"/>
      </w:rPr>
    </w:lvl>
    <w:lvl w:ilvl="2" w:tplc="28908C66">
      <w:start w:val="2585"/>
      <w:numFmt w:val="bullet"/>
      <w:lvlText w:val=""/>
      <w:lvlJc w:val="left"/>
      <w:pPr>
        <w:tabs>
          <w:tab w:val="num" w:pos="2160"/>
        </w:tabs>
        <w:ind w:left="2160" w:hanging="360"/>
      </w:pPr>
      <w:rPr>
        <w:rFonts w:ascii="Wingdings" w:hAnsi="Wingdings" w:hint="default"/>
      </w:rPr>
    </w:lvl>
    <w:lvl w:ilvl="3" w:tplc="C84E06E6" w:tentative="1">
      <w:start w:val="1"/>
      <w:numFmt w:val="decimal"/>
      <w:lvlText w:val="%4."/>
      <w:lvlJc w:val="left"/>
      <w:pPr>
        <w:tabs>
          <w:tab w:val="num" w:pos="2880"/>
        </w:tabs>
        <w:ind w:left="2880" w:hanging="360"/>
      </w:pPr>
    </w:lvl>
    <w:lvl w:ilvl="4" w:tplc="FA24D14E" w:tentative="1">
      <w:start w:val="1"/>
      <w:numFmt w:val="decimal"/>
      <w:lvlText w:val="%5."/>
      <w:lvlJc w:val="left"/>
      <w:pPr>
        <w:tabs>
          <w:tab w:val="num" w:pos="3600"/>
        </w:tabs>
        <w:ind w:left="3600" w:hanging="360"/>
      </w:pPr>
    </w:lvl>
    <w:lvl w:ilvl="5" w:tplc="5226E448" w:tentative="1">
      <w:start w:val="1"/>
      <w:numFmt w:val="decimal"/>
      <w:lvlText w:val="%6."/>
      <w:lvlJc w:val="left"/>
      <w:pPr>
        <w:tabs>
          <w:tab w:val="num" w:pos="4320"/>
        </w:tabs>
        <w:ind w:left="4320" w:hanging="360"/>
      </w:pPr>
    </w:lvl>
    <w:lvl w:ilvl="6" w:tplc="38E04656" w:tentative="1">
      <w:start w:val="1"/>
      <w:numFmt w:val="decimal"/>
      <w:lvlText w:val="%7."/>
      <w:lvlJc w:val="left"/>
      <w:pPr>
        <w:tabs>
          <w:tab w:val="num" w:pos="5040"/>
        </w:tabs>
        <w:ind w:left="5040" w:hanging="360"/>
      </w:pPr>
    </w:lvl>
    <w:lvl w:ilvl="7" w:tplc="DF322D16" w:tentative="1">
      <w:start w:val="1"/>
      <w:numFmt w:val="decimal"/>
      <w:lvlText w:val="%8."/>
      <w:lvlJc w:val="left"/>
      <w:pPr>
        <w:tabs>
          <w:tab w:val="num" w:pos="5760"/>
        </w:tabs>
        <w:ind w:left="5760" w:hanging="360"/>
      </w:pPr>
    </w:lvl>
    <w:lvl w:ilvl="8" w:tplc="162CE300" w:tentative="1">
      <w:start w:val="1"/>
      <w:numFmt w:val="decimal"/>
      <w:lvlText w:val="%9."/>
      <w:lvlJc w:val="left"/>
      <w:pPr>
        <w:tabs>
          <w:tab w:val="num" w:pos="6480"/>
        </w:tabs>
        <w:ind w:left="6480" w:hanging="360"/>
      </w:pPr>
    </w:lvl>
  </w:abstractNum>
  <w:abstractNum w:abstractNumId="15">
    <w:nsid w:val="35A658EE"/>
    <w:multiLevelType w:val="hybridMultilevel"/>
    <w:tmpl w:val="DAAEFC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nsid w:val="383515DE"/>
    <w:multiLevelType w:val="hybridMultilevel"/>
    <w:tmpl w:val="A35802C6"/>
    <w:lvl w:ilvl="0" w:tplc="08B69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216C39"/>
    <w:multiLevelType w:val="hybridMultilevel"/>
    <w:tmpl w:val="7B28247C"/>
    <w:lvl w:ilvl="0" w:tplc="00B22F2E">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3A42D37"/>
    <w:multiLevelType w:val="hybridMultilevel"/>
    <w:tmpl w:val="411C40C0"/>
    <w:lvl w:ilvl="0" w:tplc="01A42C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B7C4A"/>
    <w:multiLevelType w:val="hybridMultilevel"/>
    <w:tmpl w:val="D400ADEE"/>
    <w:lvl w:ilvl="0" w:tplc="44090001">
      <w:start w:val="1"/>
      <w:numFmt w:val="bullet"/>
      <w:lvlText w:val=""/>
      <w:lvlJc w:val="left"/>
      <w:pPr>
        <w:ind w:left="1035" w:hanging="360"/>
      </w:pPr>
      <w:rPr>
        <w:rFonts w:ascii="Symbol" w:hAnsi="Symbol" w:hint="default"/>
      </w:rPr>
    </w:lvl>
    <w:lvl w:ilvl="1" w:tplc="44090003" w:tentative="1">
      <w:start w:val="1"/>
      <w:numFmt w:val="bullet"/>
      <w:lvlText w:val="o"/>
      <w:lvlJc w:val="left"/>
      <w:pPr>
        <w:ind w:left="1755" w:hanging="360"/>
      </w:pPr>
      <w:rPr>
        <w:rFonts w:ascii="Courier New" w:hAnsi="Courier New" w:cs="Courier New" w:hint="default"/>
      </w:rPr>
    </w:lvl>
    <w:lvl w:ilvl="2" w:tplc="44090005" w:tentative="1">
      <w:start w:val="1"/>
      <w:numFmt w:val="bullet"/>
      <w:lvlText w:val=""/>
      <w:lvlJc w:val="left"/>
      <w:pPr>
        <w:ind w:left="2475" w:hanging="360"/>
      </w:pPr>
      <w:rPr>
        <w:rFonts w:ascii="Wingdings" w:hAnsi="Wingdings" w:hint="default"/>
      </w:rPr>
    </w:lvl>
    <w:lvl w:ilvl="3" w:tplc="44090001" w:tentative="1">
      <w:start w:val="1"/>
      <w:numFmt w:val="bullet"/>
      <w:lvlText w:val=""/>
      <w:lvlJc w:val="left"/>
      <w:pPr>
        <w:ind w:left="3195" w:hanging="360"/>
      </w:pPr>
      <w:rPr>
        <w:rFonts w:ascii="Symbol" w:hAnsi="Symbol" w:hint="default"/>
      </w:rPr>
    </w:lvl>
    <w:lvl w:ilvl="4" w:tplc="44090003" w:tentative="1">
      <w:start w:val="1"/>
      <w:numFmt w:val="bullet"/>
      <w:lvlText w:val="o"/>
      <w:lvlJc w:val="left"/>
      <w:pPr>
        <w:ind w:left="3915" w:hanging="360"/>
      </w:pPr>
      <w:rPr>
        <w:rFonts w:ascii="Courier New" w:hAnsi="Courier New" w:cs="Courier New" w:hint="default"/>
      </w:rPr>
    </w:lvl>
    <w:lvl w:ilvl="5" w:tplc="44090005" w:tentative="1">
      <w:start w:val="1"/>
      <w:numFmt w:val="bullet"/>
      <w:lvlText w:val=""/>
      <w:lvlJc w:val="left"/>
      <w:pPr>
        <w:ind w:left="4635" w:hanging="360"/>
      </w:pPr>
      <w:rPr>
        <w:rFonts w:ascii="Wingdings" w:hAnsi="Wingdings" w:hint="default"/>
      </w:rPr>
    </w:lvl>
    <w:lvl w:ilvl="6" w:tplc="44090001" w:tentative="1">
      <w:start w:val="1"/>
      <w:numFmt w:val="bullet"/>
      <w:lvlText w:val=""/>
      <w:lvlJc w:val="left"/>
      <w:pPr>
        <w:ind w:left="5355" w:hanging="360"/>
      </w:pPr>
      <w:rPr>
        <w:rFonts w:ascii="Symbol" w:hAnsi="Symbol" w:hint="default"/>
      </w:rPr>
    </w:lvl>
    <w:lvl w:ilvl="7" w:tplc="44090003" w:tentative="1">
      <w:start w:val="1"/>
      <w:numFmt w:val="bullet"/>
      <w:lvlText w:val="o"/>
      <w:lvlJc w:val="left"/>
      <w:pPr>
        <w:ind w:left="6075" w:hanging="360"/>
      </w:pPr>
      <w:rPr>
        <w:rFonts w:ascii="Courier New" w:hAnsi="Courier New" w:cs="Courier New" w:hint="default"/>
      </w:rPr>
    </w:lvl>
    <w:lvl w:ilvl="8" w:tplc="44090005" w:tentative="1">
      <w:start w:val="1"/>
      <w:numFmt w:val="bullet"/>
      <w:lvlText w:val=""/>
      <w:lvlJc w:val="left"/>
      <w:pPr>
        <w:ind w:left="6795" w:hanging="360"/>
      </w:pPr>
      <w:rPr>
        <w:rFonts w:ascii="Wingdings" w:hAnsi="Wingdings" w:hint="default"/>
      </w:rPr>
    </w:lvl>
  </w:abstractNum>
  <w:abstractNum w:abstractNumId="20">
    <w:nsid w:val="49E111F0"/>
    <w:multiLevelType w:val="hybridMultilevel"/>
    <w:tmpl w:val="092E6EF2"/>
    <w:lvl w:ilvl="0" w:tplc="AABA30FA">
      <w:start w:val="1"/>
      <w:numFmt w:val="lowerRoman"/>
      <w:lvlText w:val="%1."/>
      <w:lvlJc w:val="right"/>
      <w:pPr>
        <w:ind w:left="720" w:hanging="360"/>
      </w:pPr>
      <w:rPr>
        <w:rFonts w:ascii="Calibri" w:hAnsi="Calibri" w:hint="default"/>
        <w:b w:val="0"/>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4F3907B9"/>
    <w:multiLevelType w:val="hybridMultilevel"/>
    <w:tmpl w:val="DE46CD1C"/>
    <w:lvl w:ilvl="0" w:tplc="043E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4628BD"/>
    <w:multiLevelType w:val="hybridMultilevel"/>
    <w:tmpl w:val="78107FA8"/>
    <w:lvl w:ilvl="0" w:tplc="6F742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8F7D82"/>
    <w:multiLevelType w:val="hybridMultilevel"/>
    <w:tmpl w:val="816C734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nsid w:val="54EB020F"/>
    <w:multiLevelType w:val="hybridMultilevel"/>
    <w:tmpl w:val="3E0A8260"/>
    <w:lvl w:ilvl="0" w:tplc="A8E4A42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9447A5"/>
    <w:multiLevelType w:val="hybridMultilevel"/>
    <w:tmpl w:val="A92EF2AC"/>
    <w:lvl w:ilvl="0" w:tplc="598CB19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F70AEC"/>
    <w:multiLevelType w:val="hybridMultilevel"/>
    <w:tmpl w:val="63F2BD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2C07EB"/>
    <w:multiLevelType w:val="hybridMultilevel"/>
    <w:tmpl w:val="B58A0FDE"/>
    <w:lvl w:ilvl="0" w:tplc="FA288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019F9"/>
    <w:multiLevelType w:val="hybridMultilevel"/>
    <w:tmpl w:val="A056ADD0"/>
    <w:lvl w:ilvl="0" w:tplc="AEEE7E4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6"/>
  </w:num>
  <w:num w:numId="2">
    <w:abstractNumId w:val="25"/>
  </w:num>
  <w:num w:numId="3">
    <w:abstractNumId w:val="8"/>
  </w:num>
  <w:num w:numId="4">
    <w:abstractNumId w:val="10"/>
  </w:num>
  <w:num w:numId="5">
    <w:abstractNumId w:val="23"/>
  </w:num>
  <w:num w:numId="6">
    <w:abstractNumId w:val="9"/>
  </w:num>
  <w:num w:numId="7">
    <w:abstractNumId w:val="4"/>
  </w:num>
  <w:num w:numId="8">
    <w:abstractNumId w:val="17"/>
  </w:num>
  <w:num w:numId="9">
    <w:abstractNumId w:val="14"/>
  </w:num>
  <w:num w:numId="10">
    <w:abstractNumId w:val="2"/>
  </w:num>
  <w:num w:numId="11">
    <w:abstractNumId w:val="30"/>
  </w:num>
  <w:num w:numId="12">
    <w:abstractNumId w:val="20"/>
  </w:num>
  <w:num w:numId="13">
    <w:abstractNumId w:val="0"/>
  </w:num>
  <w:num w:numId="14">
    <w:abstractNumId w:val="6"/>
  </w:num>
  <w:num w:numId="15">
    <w:abstractNumId w:val="28"/>
  </w:num>
  <w:num w:numId="16">
    <w:abstractNumId w:val="15"/>
  </w:num>
  <w:num w:numId="17">
    <w:abstractNumId w:val="3"/>
  </w:num>
  <w:num w:numId="18">
    <w:abstractNumId w:val="27"/>
  </w:num>
  <w:num w:numId="19">
    <w:abstractNumId w:val="11"/>
  </w:num>
  <w:num w:numId="20">
    <w:abstractNumId w:val="5"/>
  </w:num>
  <w:num w:numId="21">
    <w:abstractNumId w:val="16"/>
  </w:num>
  <w:num w:numId="22">
    <w:abstractNumId w:val="21"/>
  </w:num>
  <w:num w:numId="23">
    <w:abstractNumId w:val="19"/>
  </w:num>
  <w:num w:numId="24">
    <w:abstractNumId w:val="7"/>
  </w:num>
  <w:num w:numId="25">
    <w:abstractNumId w:val="22"/>
  </w:num>
  <w:num w:numId="26">
    <w:abstractNumId w:val="12"/>
  </w:num>
  <w:num w:numId="27">
    <w:abstractNumId w:val="13"/>
  </w:num>
  <w:num w:numId="28">
    <w:abstractNumId w:val="29"/>
  </w:num>
  <w:num w:numId="29">
    <w:abstractNumId w:val="24"/>
  </w:num>
  <w:num w:numId="30">
    <w:abstractNumId w:val="18"/>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hideSpellingErrors/>
  <w:hideGrammaticalError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useFELayout/>
  </w:compat>
  <w:docVars>
    <w:docVar w:name="PrintSpacing" w:val=" 0"/>
  </w:docVars>
  <w:rsids>
    <w:rsidRoot w:val="009E7439"/>
    <w:rsid w:val="0001261C"/>
    <w:rsid w:val="00036B5B"/>
    <w:rsid w:val="00063155"/>
    <w:rsid w:val="00066458"/>
    <w:rsid w:val="00090838"/>
    <w:rsid w:val="000A31A1"/>
    <w:rsid w:val="000A33A0"/>
    <w:rsid w:val="001258C5"/>
    <w:rsid w:val="001259DB"/>
    <w:rsid w:val="0013401C"/>
    <w:rsid w:val="00193F7C"/>
    <w:rsid w:val="001A1859"/>
    <w:rsid w:val="001A5736"/>
    <w:rsid w:val="001D27FF"/>
    <w:rsid w:val="001D52CC"/>
    <w:rsid w:val="001E709F"/>
    <w:rsid w:val="001F005F"/>
    <w:rsid w:val="001F22A2"/>
    <w:rsid w:val="002232DA"/>
    <w:rsid w:val="00232A06"/>
    <w:rsid w:val="002400F3"/>
    <w:rsid w:val="002578B1"/>
    <w:rsid w:val="002825A0"/>
    <w:rsid w:val="002B62CD"/>
    <w:rsid w:val="002C7864"/>
    <w:rsid w:val="002F7A75"/>
    <w:rsid w:val="0035349C"/>
    <w:rsid w:val="00362042"/>
    <w:rsid w:val="003B65BE"/>
    <w:rsid w:val="003B7768"/>
    <w:rsid w:val="00436436"/>
    <w:rsid w:val="004446CF"/>
    <w:rsid w:val="0046010A"/>
    <w:rsid w:val="00483D61"/>
    <w:rsid w:val="00494D48"/>
    <w:rsid w:val="004E11F1"/>
    <w:rsid w:val="005A6A9A"/>
    <w:rsid w:val="005C5ACF"/>
    <w:rsid w:val="005F0512"/>
    <w:rsid w:val="00646C05"/>
    <w:rsid w:val="006C2F68"/>
    <w:rsid w:val="006D243F"/>
    <w:rsid w:val="006D2498"/>
    <w:rsid w:val="00737CE5"/>
    <w:rsid w:val="00745E50"/>
    <w:rsid w:val="00750D35"/>
    <w:rsid w:val="00754887"/>
    <w:rsid w:val="007A2CAA"/>
    <w:rsid w:val="007C7F5A"/>
    <w:rsid w:val="008024A3"/>
    <w:rsid w:val="00830E32"/>
    <w:rsid w:val="00860BC4"/>
    <w:rsid w:val="0087329D"/>
    <w:rsid w:val="00885500"/>
    <w:rsid w:val="008A755B"/>
    <w:rsid w:val="008C7A76"/>
    <w:rsid w:val="008F223D"/>
    <w:rsid w:val="009044FF"/>
    <w:rsid w:val="009229E1"/>
    <w:rsid w:val="00950932"/>
    <w:rsid w:val="00996A66"/>
    <w:rsid w:val="009C1EEE"/>
    <w:rsid w:val="009E1689"/>
    <w:rsid w:val="009E28DA"/>
    <w:rsid w:val="009E7439"/>
    <w:rsid w:val="00A34AD9"/>
    <w:rsid w:val="00A94F6A"/>
    <w:rsid w:val="00A9548C"/>
    <w:rsid w:val="00AB27E1"/>
    <w:rsid w:val="00B101B9"/>
    <w:rsid w:val="00B149BF"/>
    <w:rsid w:val="00B1758B"/>
    <w:rsid w:val="00B34E82"/>
    <w:rsid w:val="00B53673"/>
    <w:rsid w:val="00B72FF6"/>
    <w:rsid w:val="00BB42A4"/>
    <w:rsid w:val="00BC2608"/>
    <w:rsid w:val="00BF37B1"/>
    <w:rsid w:val="00C30043"/>
    <w:rsid w:val="00C52482"/>
    <w:rsid w:val="00C6530E"/>
    <w:rsid w:val="00C65AD1"/>
    <w:rsid w:val="00CB6A57"/>
    <w:rsid w:val="00CC6226"/>
    <w:rsid w:val="00CE0E84"/>
    <w:rsid w:val="00CE4508"/>
    <w:rsid w:val="00D179F6"/>
    <w:rsid w:val="00D30D82"/>
    <w:rsid w:val="00D51AB9"/>
    <w:rsid w:val="00D555D0"/>
    <w:rsid w:val="00DD365C"/>
    <w:rsid w:val="00DD3B23"/>
    <w:rsid w:val="00E316ED"/>
    <w:rsid w:val="00E733AB"/>
    <w:rsid w:val="00E958BE"/>
    <w:rsid w:val="00EB5FFA"/>
    <w:rsid w:val="00ED4393"/>
    <w:rsid w:val="00F2261B"/>
    <w:rsid w:val="00F34CE3"/>
    <w:rsid w:val="00F64B41"/>
    <w:rsid w:val="00F65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semiHidden/>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Calibri" w:eastAsia="MS Mincho" w:hAnsi="Calibr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Calibri" w:eastAsia="MS Mincho" w:hAnsi="Calibri"/>
      <w:smallCaps/>
      <w:spacing w:val="16"/>
      <w:sz w:val="16"/>
      <w:szCs w:val="16"/>
      <w:lang w:val="en-GB" w:eastAsia="ja-JP" w:bidi="th-TH"/>
    </w:rPr>
  </w:style>
  <w:style w:type="paragraph" w:styleId="NormalWeb">
    <w:name w:val="Normal (Web)"/>
    <w:basedOn w:val="Normal"/>
    <w:uiPriority w:val="99"/>
    <w:semiHidden/>
    <w:unhideWhenUsed/>
    <w:rsid w:val="00DD365C"/>
    <w:pPr>
      <w:spacing w:before="100" w:beforeAutospacing="1" w:after="100" w:afterAutospacing="1"/>
    </w:pPr>
    <w:rPr>
      <w:rFonts w:eastAsia="Times New Roman"/>
      <w:szCs w:val="24"/>
      <w:lang w:val="en-MY" w:eastAsia="en-MY"/>
    </w:rPr>
  </w:style>
  <w:style w:type="character" w:customStyle="1" w:styleId="Heading9Char">
    <w:name w:val="Heading 9 Char"/>
    <w:basedOn w:val="DefaultParagraphFont"/>
    <w:link w:val="Heading9"/>
    <w:rsid w:val="00DD365C"/>
    <w:rPr>
      <w:rFonts w:ascii="Arial" w:hAnsi="Arial"/>
      <w:b/>
      <w:i/>
      <w:lang w:val="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eaisah@myipo.gov.my" TargetMode="External"/><Relationship Id="rId18" Type="http://schemas.openxmlformats.org/officeDocument/2006/relationships/hyperlink" Target="mailto:azah.ahmad@treasury.gov.my" TargetMode="External"/><Relationship Id="rId26" Type="http://schemas.openxmlformats.org/officeDocument/2006/relationships/hyperlink" Target="http://www.imi.gov.my" TargetMode="External"/><Relationship Id="rId3" Type="http://schemas.openxmlformats.org/officeDocument/2006/relationships/settings" Target="settings.xml"/><Relationship Id="rId21" Type="http://schemas.openxmlformats.org/officeDocument/2006/relationships/hyperlink" Target="mailto:allpemudahmiti@miti.gov.my"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apecmiti@miti.gov.my" TargetMode="External"/><Relationship Id="rId17" Type="http://schemas.openxmlformats.org/officeDocument/2006/relationships/hyperlink" Target="mailto:fauziah.yaacob@treasury.gov.my" TargetMode="External"/><Relationship Id="rId25" Type="http://schemas.openxmlformats.org/officeDocument/2006/relationships/hyperlink" Target="mailto:rushdan@agc.gov.my"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aidiltupari@mycc.gov.my" TargetMode="External"/><Relationship Id="rId20" Type="http://schemas.openxmlformats.org/officeDocument/2006/relationships/hyperlink" Target="http://www.pemudah.gov.my" TargetMode="External"/><Relationship Id="rId29" Type="http://schemas.openxmlformats.org/officeDocument/2006/relationships/hyperlink" Target="http://www.malaysia.gov.m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isah@myipo.gov.my" TargetMode="External"/><Relationship Id="rId24" Type="http://schemas.openxmlformats.org/officeDocument/2006/relationships/hyperlink" Target="http://www.kehakiman.gov.my/?q=en"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ycc.gov.my" TargetMode="External"/><Relationship Id="rId23" Type="http://schemas.openxmlformats.org/officeDocument/2006/relationships/hyperlink" Target="http://www.malaysianbar.org.my" TargetMode="External"/><Relationship Id="rId28" Type="http://schemas.openxmlformats.org/officeDocument/2006/relationships/hyperlink" Target="mailto:azman_azra@moha.gov.my" TargetMode="External"/><Relationship Id="rId10" Type="http://schemas.openxmlformats.org/officeDocument/2006/relationships/hyperlink" Target="http://www.standardsmalaysia.gov.my" TargetMode="External"/><Relationship Id="rId19" Type="http://schemas.openxmlformats.org/officeDocument/2006/relationships/hyperlink" Target="mailto:afifah.sahib@treasury.gov.my" TargetMode="External"/><Relationship Id="rId31" Type="http://schemas.openxmlformats.org/officeDocument/2006/relationships/hyperlink" Target="http://www.malaysia.gov.my" TargetMode="External"/><Relationship Id="rId4" Type="http://schemas.openxmlformats.org/officeDocument/2006/relationships/webSettings" Target="webSettings.xml"/><Relationship Id="rId9" Type="http://schemas.openxmlformats.org/officeDocument/2006/relationships/hyperlink" Target="mailto:roeslina@mida.gov.my" TargetMode="External"/><Relationship Id="rId14" Type="http://schemas.openxmlformats.org/officeDocument/2006/relationships/hyperlink" Target="http://www.mycc.gov.my" TargetMode="External"/><Relationship Id="rId22" Type="http://schemas.openxmlformats.org/officeDocument/2006/relationships/hyperlink" Target="http://www.miti.gov.my/cms/content.jsp?id=com.tms.cms.section.Section_f4ca2319-ac1c231a-64e5b200-dd222f22" TargetMode="External"/><Relationship Id="rId27" Type="http://schemas.openxmlformats.org/officeDocument/2006/relationships/hyperlink" Target="http://www.talentcorp.com.my/expatriates/residence-pass/" TargetMode="External"/><Relationship Id="rId30" Type="http://schemas.openxmlformats.org/officeDocument/2006/relationships/hyperlink" Target="http://www.miti.gov.m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5422</Words>
  <Characters>32881</Characters>
  <Application>Microsoft Office Word</Application>
  <DocSecurity>4</DocSecurity>
  <Lines>274</Lines>
  <Paragraphs>76</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38227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cp:lastModifiedBy>Bernadine Zhang Yuhua</cp:lastModifiedBy>
  <cp:revision>2</cp:revision>
  <cp:lastPrinted>2012-02-13T07:40:00Z</cp:lastPrinted>
  <dcterms:created xsi:type="dcterms:W3CDTF">2012-02-13T07:41:00Z</dcterms:created>
  <dcterms:modified xsi:type="dcterms:W3CDTF">2012-02-13T07:41:00Z</dcterms:modified>
</cp:coreProperties>
</file>